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8D256D" w:rsidRDefault="000E3D8A" w:rsidP="000E3D8A">
      <w:pPr>
        <w:jc w:val="center"/>
        <w:rPr>
          <w:b/>
          <w:color w:val="000000" w:themeColor="text1"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827A5E" w:rsidRPr="008D256D">
        <w:rPr>
          <w:b/>
          <w:color w:val="000000" w:themeColor="text1"/>
          <w:sz w:val="20"/>
          <w:szCs w:val="20"/>
        </w:rPr>
        <w:t>организаци</w:t>
      </w:r>
      <w:r w:rsidR="00A34881" w:rsidRPr="008D256D">
        <w:rPr>
          <w:b/>
          <w:color w:val="000000" w:themeColor="text1"/>
          <w:sz w:val="20"/>
          <w:szCs w:val="20"/>
        </w:rPr>
        <w:t>и</w:t>
      </w:r>
      <w:r w:rsidR="00827A5E" w:rsidRPr="008D256D">
        <w:rPr>
          <w:b/>
          <w:color w:val="000000" w:themeColor="text1"/>
          <w:sz w:val="20"/>
          <w:szCs w:val="20"/>
        </w:rPr>
        <w:t xml:space="preserve"> дополнительного</w:t>
      </w:r>
      <w:proofErr w:type="gramEnd"/>
      <w:r w:rsidR="00827A5E" w:rsidRPr="008D256D">
        <w:rPr>
          <w:b/>
          <w:color w:val="000000" w:themeColor="text1"/>
          <w:sz w:val="20"/>
          <w:szCs w:val="20"/>
        </w:rPr>
        <w:t xml:space="preserve"> образования детей</w:t>
      </w:r>
      <w:r w:rsidR="0097381B" w:rsidRPr="008D256D">
        <w:rPr>
          <w:b/>
          <w:color w:val="000000" w:themeColor="text1"/>
          <w:sz w:val="20"/>
          <w:szCs w:val="20"/>
        </w:rPr>
        <w:t xml:space="preserve"> Республики Коми в 20</w:t>
      </w:r>
      <w:r w:rsidR="002965D5" w:rsidRPr="008D256D">
        <w:rPr>
          <w:b/>
          <w:color w:val="000000" w:themeColor="text1"/>
          <w:sz w:val="20"/>
          <w:szCs w:val="20"/>
        </w:rPr>
        <w:t>2</w:t>
      </w:r>
      <w:r w:rsidR="00296707" w:rsidRPr="008D256D">
        <w:rPr>
          <w:b/>
          <w:color w:val="000000" w:themeColor="text1"/>
          <w:sz w:val="20"/>
          <w:szCs w:val="20"/>
        </w:rPr>
        <w:t>2</w:t>
      </w:r>
      <w:r w:rsidR="0097381B" w:rsidRPr="008D256D">
        <w:rPr>
          <w:b/>
          <w:color w:val="000000" w:themeColor="text1"/>
          <w:sz w:val="20"/>
          <w:szCs w:val="20"/>
        </w:rPr>
        <w:t xml:space="preserve"> году</w:t>
      </w:r>
    </w:p>
    <w:p w:rsidR="00F65705" w:rsidRPr="008D256D" w:rsidRDefault="00F65705" w:rsidP="004D4277">
      <w:pPr>
        <w:jc w:val="both"/>
        <w:rPr>
          <w:b/>
          <w:color w:val="000000" w:themeColor="text1"/>
          <w:sz w:val="20"/>
          <w:szCs w:val="20"/>
        </w:rPr>
      </w:pPr>
    </w:p>
    <w:p w:rsidR="001B6CD8" w:rsidRPr="008D256D" w:rsidRDefault="004D4277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  <w:r w:rsidRPr="008D256D">
        <w:rPr>
          <w:b/>
          <w:i/>
          <w:color w:val="000000" w:themeColor="text1"/>
          <w:sz w:val="20"/>
          <w:szCs w:val="20"/>
        </w:rPr>
        <w:t xml:space="preserve">Объект </w:t>
      </w:r>
      <w:r w:rsidR="000E3D8A" w:rsidRPr="008D256D">
        <w:rPr>
          <w:b/>
          <w:i/>
          <w:color w:val="000000" w:themeColor="text1"/>
          <w:sz w:val="20"/>
          <w:szCs w:val="20"/>
        </w:rPr>
        <w:t>исследования:</w:t>
      </w:r>
      <w:r w:rsidR="0097381B" w:rsidRPr="008D256D">
        <w:rPr>
          <w:b/>
          <w:i/>
          <w:color w:val="000000" w:themeColor="text1"/>
          <w:sz w:val="20"/>
          <w:szCs w:val="20"/>
        </w:rPr>
        <w:t xml:space="preserve"> </w:t>
      </w:r>
      <w:r w:rsidR="00251305" w:rsidRPr="008D256D">
        <w:rPr>
          <w:color w:val="000000" w:themeColor="text1"/>
          <w:sz w:val="16"/>
          <w:szCs w:val="16"/>
          <w:u w:val="single"/>
        </w:rPr>
        <w:t>МУНИЦИПАЛЬНОЕ УЧРЕЖДЕНИЕ ДОПОЛНИТЕЛЬНОГО ОБРАЗОВАНИЯ «ЦЕНТР ДОПОЛНИТЕЛЬНОГО ОБРАЗОВАНИЯ ДЕТЕЙ "УСПЕХ</w:t>
      </w:r>
      <w:r w:rsidR="00373B18" w:rsidRPr="008D256D">
        <w:rPr>
          <w:color w:val="000000" w:themeColor="text1"/>
          <w:sz w:val="16"/>
          <w:szCs w:val="16"/>
          <w:u w:val="single"/>
        </w:rPr>
        <w:t xml:space="preserve">» Г. </w:t>
      </w:r>
      <w:r w:rsidR="00251305" w:rsidRPr="008D256D">
        <w:rPr>
          <w:color w:val="000000" w:themeColor="text1"/>
          <w:sz w:val="16"/>
          <w:szCs w:val="16"/>
          <w:u w:val="single"/>
        </w:rPr>
        <w:t>СЫКТЫВКАР</w:t>
      </w:r>
    </w:p>
    <w:p w:rsidR="00172BBA" w:rsidRPr="008D256D" w:rsidRDefault="00172BBA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</w:p>
    <w:p w:rsidR="004D4277" w:rsidRPr="008D256D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8D256D">
        <w:rPr>
          <w:color w:val="000000" w:themeColor="text1"/>
          <w:sz w:val="20"/>
          <w:szCs w:val="20"/>
        </w:rPr>
        <w:t xml:space="preserve">Результаты независимой </w:t>
      </w:r>
      <w:proofErr w:type="gramStart"/>
      <w:r w:rsidRPr="008D256D">
        <w:rPr>
          <w:color w:val="000000" w:themeColor="text1"/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8D256D">
        <w:rPr>
          <w:color w:val="000000" w:themeColor="text1"/>
          <w:sz w:val="20"/>
          <w:szCs w:val="20"/>
        </w:rPr>
        <w:t xml:space="preserve"> были получены посредством:</w:t>
      </w:r>
    </w:p>
    <w:p w:rsidR="004D4277" w:rsidRPr="008D256D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8D256D">
        <w:rPr>
          <w:color w:val="000000" w:themeColor="text1"/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8D256D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  <w:r w:rsidRPr="008D256D">
        <w:rPr>
          <w:color w:val="000000" w:themeColor="text1"/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8D256D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</w:p>
    <w:p w:rsidR="004D4277" w:rsidRPr="008D256D" w:rsidRDefault="004D4277" w:rsidP="004D4277">
      <w:pPr>
        <w:ind w:firstLine="567"/>
        <w:jc w:val="both"/>
        <w:rPr>
          <w:b/>
          <w:i/>
          <w:color w:val="000000" w:themeColor="text1"/>
          <w:sz w:val="20"/>
          <w:szCs w:val="20"/>
        </w:rPr>
      </w:pPr>
      <w:r w:rsidRPr="008D256D">
        <w:rPr>
          <w:b/>
          <w:i/>
          <w:color w:val="000000" w:themeColor="text1"/>
          <w:sz w:val="20"/>
          <w:szCs w:val="20"/>
        </w:rPr>
        <w:t xml:space="preserve">Выборка </w:t>
      </w:r>
    </w:p>
    <w:p w:rsidR="004D4277" w:rsidRPr="008D256D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8D256D">
        <w:rPr>
          <w:color w:val="000000" w:themeColor="text1"/>
          <w:sz w:val="20"/>
          <w:szCs w:val="20"/>
        </w:rPr>
        <w:t xml:space="preserve">Общереспубликанский показатель охвата респондентов </w:t>
      </w:r>
      <w:r w:rsidR="00827A5E" w:rsidRPr="008D256D">
        <w:rPr>
          <w:color w:val="000000" w:themeColor="text1"/>
          <w:sz w:val="20"/>
          <w:szCs w:val="20"/>
        </w:rPr>
        <w:t>по организациям дополнительного образования детей</w:t>
      </w:r>
      <w:r w:rsidR="00827A5E" w:rsidRPr="008D256D">
        <w:rPr>
          <w:b/>
          <w:color w:val="000000" w:themeColor="text1"/>
          <w:sz w:val="20"/>
          <w:szCs w:val="20"/>
        </w:rPr>
        <w:t xml:space="preserve"> </w:t>
      </w:r>
      <w:r w:rsidRPr="008D256D">
        <w:rPr>
          <w:color w:val="000000" w:themeColor="text1"/>
          <w:sz w:val="20"/>
          <w:szCs w:val="20"/>
        </w:rPr>
        <w:t xml:space="preserve">(далее </w:t>
      </w:r>
      <w:r w:rsidR="00827A5E" w:rsidRPr="008D256D">
        <w:rPr>
          <w:color w:val="000000" w:themeColor="text1"/>
          <w:sz w:val="20"/>
          <w:szCs w:val="20"/>
        </w:rPr>
        <w:t>–</w:t>
      </w:r>
      <w:r w:rsidRPr="008D256D">
        <w:rPr>
          <w:color w:val="000000" w:themeColor="text1"/>
          <w:sz w:val="20"/>
          <w:szCs w:val="20"/>
        </w:rPr>
        <w:t xml:space="preserve"> </w:t>
      </w:r>
      <w:r w:rsidR="00827A5E" w:rsidRPr="008D256D">
        <w:rPr>
          <w:color w:val="000000" w:themeColor="text1"/>
          <w:sz w:val="20"/>
          <w:szCs w:val="20"/>
        </w:rPr>
        <w:t>ОДОД)</w:t>
      </w:r>
      <w:r w:rsidRPr="008D256D">
        <w:rPr>
          <w:color w:val="000000" w:themeColor="text1"/>
          <w:sz w:val="20"/>
          <w:szCs w:val="20"/>
        </w:rPr>
        <w:t xml:space="preserve"> Республики Коми составил </w:t>
      </w:r>
      <w:r w:rsidR="008240F4" w:rsidRPr="008D256D">
        <w:rPr>
          <w:color w:val="000000" w:themeColor="text1"/>
          <w:sz w:val="20"/>
          <w:szCs w:val="20"/>
        </w:rPr>
        <w:t>50</w:t>
      </w:r>
      <w:r w:rsidR="003B1C80" w:rsidRPr="008D256D">
        <w:rPr>
          <w:color w:val="000000" w:themeColor="text1"/>
          <w:sz w:val="20"/>
          <w:szCs w:val="20"/>
        </w:rPr>
        <w:t>,</w:t>
      </w:r>
      <w:r w:rsidR="008240F4" w:rsidRPr="008D256D">
        <w:rPr>
          <w:color w:val="000000" w:themeColor="text1"/>
          <w:sz w:val="20"/>
          <w:szCs w:val="20"/>
        </w:rPr>
        <w:t>14</w:t>
      </w:r>
      <w:r w:rsidRPr="008D256D">
        <w:rPr>
          <w:color w:val="000000" w:themeColor="text1"/>
          <w:sz w:val="20"/>
          <w:szCs w:val="20"/>
        </w:rPr>
        <w:t>%.</w:t>
      </w:r>
    </w:p>
    <w:p w:rsidR="004D4277" w:rsidRPr="008D256D" w:rsidRDefault="004D4277" w:rsidP="00CF59A2">
      <w:pPr>
        <w:ind w:firstLine="567"/>
        <w:jc w:val="both"/>
        <w:rPr>
          <w:color w:val="000000" w:themeColor="text1"/>
          <w:sz w:val="20"/>
          <w:szCs w:val="20"/>
        </w:rPr>
      </w:pPr>
      <w:r w:rsidRPr="008D256D">
        <w:rPr>
          <w:color w:val="000000" w:themeColor="text1"/>
          <w:sz w:val="20"/>
          <w:szCs w:val="20"/>
        </w:rPr>
        <w:t xml:space="preserve">Выборка опрошенных по </w:t>
      </w:r>
      <w:r w:rsidR="00251305" w:rsidRPr="008D256D">
        <w:rPr>
          <w:color w:val="000000" w:themeColor="text1"/>
          <w:sz w:val="16"/>
          <w:szCs w:val="16"/>
          <w:u w:val="single"/>
        </w:rPr>
        <w:t>МУНИЦИПАЛЬНОМУ УЧРЕЖДЕНИЮ ДОПОЛНИТЕЛЬНОГО ОБРАЗОВАНИЯ «ЦЕНТР ДОПОЛНИТЕЛЬНОГО ОБРАЗОВАНИЯ ДЕТЕЙ "УСПЕХ» Г. СЫКТЫВКАР</w:t>
      </w:r>
      <w:r w:rsidR="00251305" w:rsidRPr="008D256D">
        <w:rPr>
          <w:color w:val="000000" w:themeColor="text1"/>
          <w:sz w:val="20"/>
          <w:szCs w:val="20"/>
        </w:rPr>
        <w:t xml:space="preserve"> </w:t>
      </w:r>
      <w:r w:rsidR="00CF59A2" w:rsidRPr="008D256D">
        <w:rPr>
          <w:color w:val="000000" w:themeColor="text1"/>
          <w:sz w:val="20"/>
          <w:szCs w:val="20"/>
        </w:rPr>
        <w:t xml:space="preserve">составила </w:t>
      </w:r>
      <w:r w:rsidR="008D256D" w:rsidRPr="008D256D">
        <w:rPr>
          <w:color w:val="000000" w:themeColor="text1"/>
          <w:sz w:val="20"/>
          <w:szCs w:val="20"/>
        </w:rPr>
        <w:t>727</w:t>
      </w:r>
      <w:r w:rsidR="00CF59A2" w:rsidRPr="008D256D">
        <w:rPr>
          <w:color w:val="000000" w:themeColor="text1"/>
          <w:sz w:val="20"/>
          <w:szCs w:val="20"/>
        </w:rPr>
        <w:t xml:space="preserve"> респондентов (</w:t>
      </w:r>
      <w:r w:rsidR="008D256D" w:rsidRPr="008D256D">
        <w:rPr>
          <w:color w:val="000000" w:themeColor="text1"/>
          <w:sz w:val="20"/>
          <w:szCs w:val="20"/>
        </w:rPr>
        <w:t>42,67</w:t>
      </w:r>
      <w:r w:rsidR="00CF59A2" w:rsidRPr="008D256D">
        <w:rPr>
          <w:color w:val="000000" w:themeColor="text1"/>
          <w:sz w:val="20"/>
          <w:szCs w:val="20"/>
        </w:rPr>
        <w:t xml:space="preserve"> % от общего количества потребителей услуг). Данный факт показывает среднюю активность респондентов</w:t>
      </w:r>
      <w:r w:rsidR="00CF59A2" w:rsidRPr="008D256D">
        <w:rPr>
          <w:i/>
          <w:color w:val="000000" w:themeColor="text1"/>
          <w:sz w:val="16"/>
          <w:szCs w:val="16"/>
        </w:rPr>
        <w:t xml:space="preserve">.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FA5B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Показатели, </w:t>
            </w:r>
          </w:p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FA5B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B37328" w:rsidRPr="00FA5B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FA5B7E">
              <w:rPr>
                <w:sz w:val="18"/>
                <w:szCs w:val="18"/>
              </w:rPr>
              <w:t>Д</w:t>
            </w:r>
            <w:r w:rsidRPr="00FA5B7E">
              <w:rPr>
                <w:sz w:val="18"/>
                <w:szCs w:val="18"/>
              </w:rPr>
              <w:t>О</w:t>
            </w:r>
            <w:r w:rsidR="00540FD3" w:rsidRPr="00FA5B7E">
              <w:rPr>
                <w:sz w:val="18"/>
                <w:szCs w:val="18"/>
              </w:rPr>
              <w:t>Д</w:t>
            </w:r>
          </w:p>
        </w:tc>
        <w:tc>
          <w:tcPr>
            <w:tcW w:w="1086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по РК</w:t>
            </w:r>
          </w:p>
        </w:tc>
      </w:tr>
      <w:tr w:rsidR="00B37328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996197" w:rsidRPr="00FA5B7E" w:rsidTr="00540FD3">
        <w:trPr>
          <w:trHeight w:val="1132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996197" w:rsidRPr="00FA5B7E" w:rsidTr="00540FD3">
        <w:trPr>
          <w:trHeight w:val="356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96197" w:rsidRPr="00FA5B7E" w:rsidTr="00540FD3">
        <w:trPr>
          <w:trHeight w:val="839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vAlign w:val="center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FA5B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99619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96197">
              <w:rPr>
                <w:b/>
                <w:bCs/>
                <w:color w:val="000000" w:themeColor="text1"/>
                <w:sz w:val="18"/>
                <w:szCs w:val="18"/>
              </w:rPr>
              <w:t>92,80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92,46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C57BDE" w:rsidRPr="00FA5B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996197" w:rsidRPr="00FA5B7E" w:rsidTr="009F005E">
        <w:trPr>
          <w:trHeight w:val="695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Pr="00996197" w:rsidRDefault="00996197" w:rsidP="009961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96197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996197" w:rsidRPr="00FA5B7E" w:rsidTr="009F005E">
        <w:trPr>
          <w:trHeight w:val="1838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P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9961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996197" w:rsidRPr="00FA5B7E" w:rsidTr="009F005E">
        <w:trPr>
          <w:trHeight w:val="703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Pr="00996197" w:rsidRDefault="00996197" w:rsidP="009961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96197">
              <w:rPr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996197" w:rsidRPr="00FA5B7E" w:rsidTr="009F005E">
        <w:trPr>
          <w:trHeight w:val="685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P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99619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FA5B7E" w:rsidTr="009F005E">
        <w:trPr>
          <w:trHeight w:val="567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99619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96197">
              <w:rPr>
                <w:b/>
                <w:bCs/>
                <w:color w:val="000000" w:themeColor="text1"/>
                <w:sz w:val="18"/>
                <w:szCs w:val="18"/>
              </w:rPr>
              <w:t>99,50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99,24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C57BDE" w:rsidRPr="00FA5B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996197" w:rsidRPr="00FA5B7E" w:rsidTr="009F005E">
        <w:trPr>
          <w:trHeight w:val="751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Pr="00996197" w:rsidRDefault="00996197" w:rsidP="009961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96197">
              <w:rPr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996197" w:rsidRPr="00FA5B7E" w:rsidTr="009F005E">
        <w:trPr>
          <w:trHeight w:val="2250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P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99619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996197" w:rsidRPr="00FA5B7E" w:rsidTr="009F005E">
        <w:trPr>
          <w:trHeight w:val="694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Pr="00996197" w:rsidRDefault="00996197" w:rsidP="009961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96197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996197" w:rsidRPr="00FA5B7E" w:rsidTr="00540FD3">
        <w:trPr>
          <w:trHeight w:val="3952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FA5B7E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P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99619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996197" w:rsidRPr="00FA5B7E" w:rsidTr="00540FD3">
        <w:trPr>
          <w:trHeight w:val="628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Pr="00996197" w:rsidRDefault="00996197" w:rsidP="009961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96197">
              <w:rPr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996197" w:rsidRPr="00FA5B7E" w:rsidTr="00540FD3">
        <w:trPr>
          <w:trHeight w:val="492"/>
        </w:trPr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P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996197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C57BDE" w:rsidRPr="00FA5B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99619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96197">
              <w:rPr>
                <w:b/>
                <w:bCs/>
                <w:color w:val="000000" w:themeColor="text1"/>
                <w:sz w:val="18"/>
                <w:szCs w:val="18"/>
              </w:rPr>
              <w:t>86,80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52,95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C57BDE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99619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96197">
              <w:rPr>
                <w:b/>
                <w:bCs/>
                <w:color w:val="000000" w:themeColor="text1"/>
                <w:sz w:val="18"/>
                <w:szCs w:val="18"/>
              </w:rPr>
              <w:t>99,60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98,43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C57BDE" w:rsidRPr="00FA5B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96197" w:rsidRPr="00FA5B7E" w:rsidTr="00540FD3">
        <w:tc>
          <w:tcPr>
            <w:tcW w:w="422" w:type="dxa"/>
            <w:vAlign w:val="center"/>
          </w:tcPr>
          <w:p w:rsidR="00996197" w:rsidRPr="00FA5B7E" w:rsidRDefault="00996197" w:rsidP="0099619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</w:tcPr>
          <w:p w:rsidR="00996197" w:rsidRPr="00FA5B7E" w:rsidRDefault="00996197" w:rsidP="0099619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996197" w:rsidRPr="00FA5B7E" w:rsidRDefault="00996197" w:rsidP="0099619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96197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996197" w:rsidRPr="00FA5B7E" w:rsidRDefault="00996197" w:rsidP="0099619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996197" w:rsidRDefault="0099619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6197">
              <w:rPr>
                <w:b/>
                <w:bCs/>
                <w:color w:val="000000" w:themeColor="text1"/>
                <w:sz w:val="18"/>
                <w:szCs w:val="18"/>
              </w:rPr>
              <w:t>99,70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98,57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996197" w:rsidRDefault="0099619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96197">
              <w:rPr>
                <w:b/>
                <w:bCs/>
                <w:color w:val="000000" w:themeColor="text1"/>
                <w:sz w:val="18"/>
                <w:szCs w:val="18"/>
              </w:rPr>
              <w:t>95,68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88,33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 xml:space="preserve">Организации </w:t>
      </w:r>
      <w:proofErr w:type="gramStart"/>
      <w:r w:rsidR="00540FD3">
        <w:rPr>
          <w:b/>
          <w:sz w:val="20"/>
          <w:szCs w:val="20"/>
        </w:rPr>
        <w:t>дополнительного</w:t>
      </w:r>
      <w:proofErr w:type="gramEnd"/>
      <w:r w:rsidR="00540FD3">
        <w:rPr>
          <w:b/>
          <w:sz w:val="20"/>
          <w:szCs w:val="20"/>
        </w:rPr>
        <w:t xml:space="preserve"> образования детей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996197" w:rsidRDefault="000D7422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="00996197" w:rsidRPr="004348E6">
        <w:rPr>
          <w:sz w:val="20"/>
          <w:szCs w:val="20"/>
        </w:rPr>
        <w:t>оценки качества</w:t>
      </w:r>
      <w:r w:rsidRPr="004348E6">
        <w:rPr>
          <w:sz w:val="20"/>
          <w:szCs w:val="20"/>
        </w:rPr>
        <w:t xml:space="preserve">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996197">
        <w:rPr>
          <w:sz w:val="20"/>
          <w:szCs w:val="20"/>
        </w:rPr>
        <w:t>высокое</w:t>
      </w:r>
      <w:r w:rsidRPr="00B71E64">
        <w:rPr>
          <w:sz w:val="20"/>
          <w:szCs w:val="20"/>
        </w:rPr>
        <w:t>. Наиболее</w:t>
      </w:r>
      <w:r>
        <w:rPr>
          <w:sz w:val="20"/>
          <w:szCs w:val="20"/>
        </w:rPr>
        <w:t xml:space="preserve"> </w:t>
      </w:r>
      <w:r w:rsidRPr="00B71E64">
        <w:rPr>
          <w:sz w:val="20"/>
          <w:szCs w:val="20"/>
        </w:rPr>
        <w:t xml:space="preserve">высоко респонденты оценили </w:t>
      </w:r>
      <w:r w:rsidR="009F005E">
        <w:rPr>
          <w:sz w:val="20"/>
          <w:szCs w:val="20"/>
        </w:rPr>
        <w:t>«Д</w:t>
      </w:r>
      <w:r w:rsidRPr="00996197">
        <w:rPr>
          <w:sz w:val="20"/>
          <w:szCs w:val="20"/>
        </w:rPr>
        <w:t>оброжелательность, вежливость работников организации</w:t>
      </w:r>
      <w:r w:rsidR="009F005E">
        <w:rPr>
          <w:sz w:val="20"/>
          <w:szCs w:val="20"/>
        </w:rPr>
        <w:t>»</w:t>
      </w:r>
      <w:r w:rsidR="00996197" w:rsidRPr="00996197">
        <w:rPr>
          <w:sz w:val="20"/>
          <w:szCs w:val="20"/>
        </w:rPr>
        <w:t xml:space="preserve"> (99,60 баллов</w:t>
      </w:r>
      <w:r w:rsidRPr="00996197">
        <w:rPr>
          <w:sz w:val="20"/>
          <w:szCs w:val="20"/>
        </w:rPr>
        <w:t>).</w:t>
      </w:r>
    </w:p>
    <w:p w:rsidR="00996197" w:rsidRPr="009F005E" w:rsidRDefault="00996197" w:rsidP="009F005E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996197" w:rsidRPr="00A23DBC" w:rsidRDefault="00996197" w:rsidP="0099619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23DB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996197" w:rsidRPr="00A23DBC" w:rsidRDefault="00996197" w:rsidP="0099619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23DBC">
        <w:rPr>
          <w:rFonts w:ascii="Times New Roman" w:hAnsi="Times New Roman"/>
          <w:b/>
          <w:sz w:val="20"/>
          <w:szCs w:val="20"/>
          <w:u w:val="single"/>
        </w:rPr>
        <w:t>независимой оценки качества условий осуществления образовательной деятельности</w:t>
      </w:r>
    </w:p>
    <w:p w:rsidR="00996197" w:rsidRPr="00A23DBC" w:rsidRDefault="00996197" w:rsidP="0099619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color w:val="333333"/>
          <w:sz w:val="21"/>
          <w:szCs w:val="21"/>
          <w:shd w:val="clear" w:color="auto" w:fill="FFFFFF"/>
        </w:rPr>
      </w:pPr>
    </w:p>
    <w:p w:rsidR="00996197" w:rsidRPr="00407D5C" w:rsidRDefault="00996197" w:rsidP="009961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>
        <w:rPr>
          <w:color w:val="000000"/>
          <w:sz w:val="20"/>
          <w:szCs w:val="20"/>
        </w:rPr>
        <w:t xml:space="preserve">Несмотря на то, что </w:t>
      </w:r>
      <w:r w:rsidRPr="00CC5292">
        <w:rPr>
          <w:color w:val="000000"/>
          <w:sz w:val="20"/>
          <w:szCs w:val="20"/>
        </w:rPr>
        <w:t>показатель организации выше среднего значения по кластеру О</w:t>
      </w:r>
      <w:r>
        <w:rPr>
          <w:color w:val="000000"/>
          <w:sz w:val="20"/>
          <w:szCs w:val="20"/>
        </w:rPr>
        <w:t>Д</w:t>
      </w:r>
      <w:r w:rsidRPr="00CC5292">
        <w:rPr>
          <w:color w:val="000000"/>
          <w:sz w:val="20"/>
          <w:szCs w:val="20"/>
        </w:rPr>
        <w:t>О</w:t>
      </w:r>
      <w:r>
        <w:rPr>
          <w:color w:val="000000"/>
          <w:sz w:val="20"/>
          <w:szCs w:val="20"/>
        </w:rPr>
        <w:t>Д</w:t>
      </w:r>
      <w:r w:rsidRPr="00CC5292">
        <w:rPr>
          <w:color w:val="000000"/>
          <w:sz w:val="20"/>
          <w:szCs w:val="20"/>
        </w:rPr>
        <w:t xml:space="preserve"> по всем </w:t>
      </w:r>
      <w:r w:rsidRPr="002F6711">
        <w:rPr>
          <w:noProof/>
          <w:sz w:val="20"/>
          <w:szCs w:val="20"/>
        </w:rPr>
        <w:t>критериям</w:t>
      </w:r>
      <w:r w:rsidRPr="00CC5292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услуги, рекомендуется </w:t>
      </w:r>
      <w:r w:rsidRPr="00D8101D">
        <w:rPr>
          <w:noProof/>
          <w:sz w:val="20"/>
          <w:szCs w:val="20"/>
        </w:rPr>
        <w:t xml:space="preserve">продолжить работу, направленную на улучшение </w:t>
      </w:r>
      <w:r>
        <w:rPr>
          <w:noProof/>
          <w:sz w:val="20"/>
          <w:szCs w:val="20"/>
        </w:rPr>
        <w:t>значений</w:t>
      </w:r>
      <w:r w:rsidRPr="00D8101D">
        <w:rPr>
          <w:noProof/>
          <w:sz w:val="20"/>
          <w:szCs w:val="20"/>
        </w:rPr>
        <w:t xml:space="preserve"> по критерию, получившему наименьшую оценку, а именно </w:t>
      </w:r>
      <w:r w:rsidRPr="002F6711">
        <w:rPr>
          <w:noProof/>
          <w:sz w:val="20"/>
          <w:szCs w:val="20"/>
        </w:rPr>
        <w:t>«Доступность образовательной деятельности для инвалидов».</w:t>
      </w:r>
    </w:p>
    <w:p w:rsidR="00312F0D" w:rsidRPr="00996197" w:rsidRDefault="00312F0D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sz w:val="20"/>
          <w:szCs w:val="20"/>
          <w:lang w:val="ru"/>
        </w:rPr>
      </w:pPr>
    </w:p>
    <w:sectPr w:rsidR="00312F0D" w:rsidRPr="00996197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B61" w:rsidRDefault="00615B61" w:rsidP="00A7093F">
      <w:r>
        <w:separator/>
      </w:r>
    </w:p>
  </w:endnote>
  <w:endnote w:type="continuationSeparator" w:id="0">
    <w:p w:rsidR="00615B61" w:rsidRDefault="00615B61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B61" w:rsidRDefault="00615B61" w:rsidP="00A7093F">
      <w:r>
        <w:separator/>
      </w:r>
    </w:p>
  </w:footnote>
  <w:footnote w:type="continuationSeparator" w:id="0">
    <w:p w:rsidR="00615B61" w:rsidRDefault="00615B61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291E"/>
    <w:rsid w:val="000B57D6"/>
    <w:rsid w:val="000C2AA3"/>
    <w:rsid w:val="000C36FC"/>
    <w:rsid w:val="000D7422"/>
    <w:rsid w:val="000E3D8A"/>
    <w:rsid w:val="000E77E7"/>
    <w:rsid w:val="0010121A"/>
    <w:rsid w:val="00101C37"/>
    <w:rsid w:val="00104CE2"/>
    <w:rsid w:val="001118E3"/>
    <w:rsid w:val="00120A1E"/>
    <w:rsid w:val="00134405"/>
    <w:rsid w:val="001371A6"/>
    <w:rsid w:val="00142224"/>
    <w:rsid w:val="001618F2"/>
    <w:rsid w:val="00165B00"/>
    <w:rsid w:val="0017206E"/>
    <w:rsid w:val="00172BBA"/>
    <w:rsid w:val="00173A9C"/>
    <w:rsid w:val="001816C7"/>
    <w:rsid w:val="00186C0B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1926"/>
    <w:rsid w:val="00203937"/>
    <w:rsid w:val="00222D6C"/>
    <w:rsid w:val="00224FBE"/>
    <w:rsid w:val="002355C8"/>
    <w:rsid w:val="00236B58"/>
    <w:rsid w:val="00251305"/>
    <w:rsid w:val="00263F7D"/>
    <w:rsid w:val="00265940"/>
    <w:rsid w:val="00283BD1"/>
    <w:rsid w:val="00284F99"/>
    <w:rsid w:val="002965D5"/>
    <w:rsid w:val="00296707"/>
    <w:rsid w:val="002A3AD7"/>
    <w:rsid w:val="002A621A"/>
    <w:rsid w:val="002A622E"/>
    <w:rsid w:val="002B6B88"/>
    <w:rsid w:val="002C1893"/>
    <w:rsid w:val="002D0E76"/>
    <w:rsid w:val="002D1EFD"/>
    <w:rsid w:val="002E0F85"/>
    <w:rsid w:val="002F4039"/>
    <w:rsid w:val="00300C4D"/>
    <w:rsid w:val="00303505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D07CE"/>
    <w:rsid w:val="003D0CEF"/>
    <w:rsid w:val="003D399C"/>
    <w:rsid w:val="003D50D2"/>
    <w:rsid w:val="003E066D"/>
    <w:rsid w:val="003E36B3"/>
    <w:rsid w:val="003F2B2A"/>
    <w:rsid w:val="00404A8F"/>
    <w:rsid w:val="00412C75"/>
    <w:rsid w:val="004136C1"/>
    <w:rsid w:val="004213ED"/>
    <w:rsid w:val="00421DEC"/>
    <w:rsid w:val="0043737A"/>
    <w:rsid w:val="0046062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54A6C"/>
    <w:rsid w:val="00560D30"/>
    <w:rsid w:val="00564484"/>
    <w:rsid w:val="00570752"/>
    <w:rsid w:val="00576936"/>
    <w:rsid w:val="0058037F"/>
    <w:rsid w:val="005840A5"/>
    <w:rsid w:val="005A2C40"/>
    <w:rsid w:val="005E1783"/>
    <w:rsid w:val="005E5C26"/>
    <w:rsid w:val="0060170F"/>
    <w:rsid w:val="006040F7"/>
    <w:rsid w:val="00613655"/>
    <w:rsid w:val="00613F26"/>
    <w:rsid w:val="00615B61"/>
    <w:rsid w:val="006245BD"/>
    <w:rsid w:val="00627F37"/>
    <w:rsid w:val="006321BC"/>
    <w:rsid w:val="006343D4"/>
    <w:rsid w:val="00647257"/>
    <w:rsid w:val="0065312C"/>
    <w:rsid w:val="00663B18"/>
    <w:rsid w:val="00683048"/>
    <w:rsid w:val="00685319"/>
    <w:rsid w:val="00691077"/>
    <w:rsid w:val="006A2646"/>
    <w:rsid w:val="006A48EE"/>
    <w:rsid w:val="006B0D35"/>
    <w:rsid w:val="006C28F5"/>
    <w:rsid w:val="006C722C"/>
    <w:rsid w:val="006D24AB"/>
    <w:rsid w:val="006D549E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7693"/>
    <w:rsid w:val="007D1BC4"/>
    <w:rsid w:val="007F1FE2"/>
    <w:rsid w:val="00806179"/>
    <w:rsid w:val="008240F4"/>
    <w:rsid w:val="00827A5E"/>
    <w:rsid w:val="0083566B"/>
    <w:rsid w:val="00836BA9"/>
    <w:rsid w:val="008445F7"/>
    <w:rsid w:val="00851300"/>
    <w:rsid w:val="00856494"/>
    <w:rsid w:val="008568BE"/>
    <w:rsid w:val="00863554"/>
    <w:rsid w:val="0088798F"/>
    <w:rsid w:val="008953C5"/>
    <w:rsid w:val="008A3116"/>
    <w:rsid w:val="008A5C75"/>
    <w:rsid w:val="008B2161"/>
    <w:rsid w:val="008D256D"/>
    <w:rsid w:val="008D5643"/>
    <w:rsid w:val="008F400F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2411"/>
    <w:rsid w:val="00996197"/>
    <w:rsid w:val="009A55EB"/>
    <w:rsid w:val="009A6A7A"/>
    <w:rsid w:val="009B3A84"/>
    <w:rsid w:val="009B5B3D"/>
    <w:rsid w:val="009C21DC"/>
    <w:rsid w:val="009D09D3"/>
    <w:rsid w:val="009E6CED"/>
    <w:rsid w:val="009F005E"/>
    <w:rsid w:val="00A0686F"/>
    <w:rsid w:val="00A12C70"/>
    <w:rsid w:val="00A16D43"/>
    <w:rsid w:val="00A2198E"/>
    <w:rsid w:val="00A2756D"/>
    <w:rsid w:val="00A27A55"/>
    <w:rsid w:val="00A334A5"/>
    <w:rsid w:val="00A34881"/>
    <w:rsid w:val="00A42535"/>
    <w:rsid w:val="00A64BD7"/>
    <w:rsid w:val="00A66656"/>
    <w:rsid w:val="00A7093F"/>
    <w:rsid w:val="00A77F6F"/>
    <w:rsid w:val="00A80ECF"/>
    <w:rsid w:val="00A81A13"/>
    <w:rsid w:val="00A868B4"/>
    <w:rsid w:val="00A911EE"/>
    <w:rsid w:val="00A94E7B"/>
    <w:rsid w:val="00AC6CDA"/>
    <w:rsid w:val="00AD78AB"/>
    <w:rsid w:val="00AE7879"/>
    <w:rsid w:val="00B35487"/>
    <w:rsid w:val="00B37328"/>
    <w:rsid w:val="00B37B41"/>
    <w:rsid w:val="00B6156A"/>
    <w:rsid w:val="00B627E7"/>
    <w:rsid w:val="00B6591A"/>
    <w:rsid w:val="00B74F35"/>
    <w:rsid w:val="00B757F8"/>
    <w:rsid w:val="00B86C4A"/>
    <w:rsid w:val="00BA25B8"/>
    <w:rsid w:val="00BA40D6"/>
    <w:rsid w:val="00BB7FE6"/>
    <w:rsid w:val="00BC55D9"/>
    <w:rsid w:val="00BD07FD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581C"/>
    <w:rsid w:val="00C71014"/>
    <w:rsid w:val="00C71D1A"/>
    <w:rsid w:val="00C75A78"/>
    <w:rsid w:val="00C80B33"/>
    <w:rsid w:val="00C84E1B"/>
    <w:rsid w:val="00C85714"/>
    <w:rsid w:val="00C90EFE"/>
    <w:rsid w:val="00CB274F"/>
    <w:rsid w:val="00CB5BC0"/>
    <w:rsid w:val="00CC0058"/>
    <w:rsid w:val="00CC58B3"/>
    <w:rsid w:val="00CD1A27"/>
    <w:rsid w:val="00CF59A2"/>
    <w:rsid w:val="00D14EFA"/>
    <w:rsid w:val="00D420AC"/>
    <w:rsid w:val="00D42959"/>
    <w:rsid w:val="00D43AAB"/>
    <w:rsid w:val="00D746A2"/>
    <w:rsid w:val="00D977ED"/>
    <w:rsid w:val="00DA5F96"/>
    <w:rsid w:val="00DB0B22"/>
    <w:rsid w:val="00DB3677"/>
    <w:rsid w:val="00DC2E77"/>
    <w:rsid w:val="00DC3990"/>
    <w:rsid w:val="00DD10E3"/>
    <w:rsid w:val="00DE5E57"/>
    <w:rsid w:val="00DF7C09"/>
    <w:rsid w:val="00E0186E"/>
    <w:rsid w:val="00E0320E"/>
    <w:rsid w:val="00E32E2D"/>
    <w:rsid w:val="00E45E96"/>
    <w:rsid w:val="00E67451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32E8"/>
    <w:rsid w:val="00EB3867"/>
    <w:rsid w:val="00EB3D82"/>
    <w:rsid w:val="00EE5951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C2BE9"/>
    <w:rsid w:val="00FD4CE8"/>
    <w:rsid w:val="00FD7E3F"/>
    <w:rsid w:val="00FE5B64"/>
    <w:rsid w:val="00FE664F"/>
    <w:rsid w:val="00FF24AC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0"/>
                  <c:y val="6.4262800483272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9.9570254780367934E-7"/>
                  <c:y val="4.9472982543848688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0"/>
                  <c:y val="6.62026621672290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-2.1063717746182199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EAE-410F-9F38-CF69D988CC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92.8</c:v>
                </c:pt>
                <c:pt idx="1">
                  <c:v>99.5</c:v>
                </c:pt>
                <c:pt idx="2">
                  <c:v>86.8</c:v>
                </c:pt>
                <c:pt idx="3">
                  <c:v>99.6</c:v>
                </c:pt>
                <c:pt idx="4">
                  <c:v>99.7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4548328024394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EAE-410F-9F38-CF69D988CC08}"/>
                </c:ext>
              </c:extLst>
            </c:dLbl>
            <c:dLbl>
              <c:idx val="1"/>
              <c:layout>
                <c:manualLayout>
                  <c:x val="2.2377297624526791E-3"/>
                  <c:y val="9.81926886930696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1.9723207967744546E-3"/>
                  <c:y val="7.79277590301212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53766383467469E-3"/>
                  <c:y val="1.6551454641370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EAE-410F-9F38-CF69D988CC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92.46</c:v>
                </c:pt>
                <c:pt idx="1">
                  <c:v>99.24</c:v>
                </c:pt>
                <c:pt idx="2">
                  <c:v>52.95</c:v>
                </c:pt>
                <c:pt idx="3">
                  <c:v>98.43</c:v>
                </c:pt>
                <c:pt idx="4">
                  <c:v>98.57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6827904"/>
        <c:axId val="56829440"/>
      </c:barChart>
      <c:catAx>
        <c:axId val="568279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56829440"/>
        <c:crosses val="autoZero"/>
        <c:auto val="1"/>
        <c:lblAlgn val="ctr"/>
        <c:lblOffset val="100"/>
        <c:noMultiLvlLbl val="0"/>
      </c:catAx>
      <c:valAx>
        <c:axId val="5682944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5682790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89068-5818-4AA7-85DD-F5F15AA6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7</cp:revision>
  <cp:lastPrinted>2019-12-02T11:19:00Z</cp:lastPrinted>
  <dcterms:created xsi:type="dcterms:W3CDTF">2022-09-21T13:19:00Z</dcterms:created>
  <dcterms:modified xsi:type="dcterms:W3CDTF">2022-09-26T09:57:00Z</dcterms:modified>
</cp:coreProperties>
</file>