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21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B15E25" w:rsidRDefault="00F65705" w:rsidP="004D4277">
      <w:pPr>
        <w:jc w:val="both"/>
        <w:rPr>
          <w:b/>
          <w:sz w:val="20"/>
          <w:szCs w:val="20"/>
        </w:rPr>
      </w:pPr>
    </w:p>
    <w:p w:rsidR="001B6CD8" w:rsidRPr="00B15E25" w:rsidRDefault="004D4277" w:rsidP="00B6591A">
      <w:pPr>
        <w:ind w:firstLine="567"/>
        <w:jc w:val="both"/>
        <w:rPr>
          <w:sz w:val="20"/>
          <w:szCs w:val="20"/>
          <w:u w:val="single"/>
        </w:rPr>
      </w:pPr>
      <w:r w:rsidRPr="00B15E25">
        <w:rPr>
          <w:b/>
          <w:i/>
          <w:sz w:val="20"/>
          <w:szCs w:val="20"/>
        </w:rPr>
        <w:t xml:space="preserve">Объект </w:t>
      </w:r>
      <w:r w:rsidR="000E3D8A" w:rsidRPr="00B15E25">
        <w:rPr>
          <w:b/>
          <w:i/>
          <w:sz w:val="20"/>
          <w:szCs w:val="20"/>
        </w:rPr>
        <w:t>исследования:</w:t>
      </w:r>
      <w:r w:rsidR="00B15E25" w:rsidRPr="00B15E25">
        <w:rPr>
          <w:b/>
          <w:i/>
          <w:sz w:val="20"/>
          <w:szCs w:val="20"/>
        </w:rPr>
        <w:t xml:space="preserve">  </w:t>
      </w:r>
      <w:r w:rsidR="0097381B" w:rsidRPr="00B15E25">
        <w:rPr>
          <w:b/>
          <w:i/>
          <w:sz w:val="20"/>
          <w:szCs w:val="20"/>
        </w:rPr>
        <w:t xml:space="preserve"> </w:t>
      </w:r>
      <w:r w:rsidR="00B15E25" w:rsidRPr="00B15E25">
        <w:rPr>
          <w:sz w:val="16"/>
          <w:szCs w:val="16"/>
          <w:u w:val="single"/>
        </w:rPr>
        <w:t xml:space="preserve">МУНИЦИПАЛЬНОЕ   АВТОНОМНОЕ  ОБЩЕОБРАЗОВАТЕЛЬНОЕ  УЧРЕЖДЕНИЕ </w:t>
      </w:r>
      <w:r w:rsidR="005F64EC">
        <w:rPr>
          <w:sz w:val="16"/>
          <w:szCs w:val="16"/>
          <w:u w:val="single"/>
        </w:rPr>
        <w:t>«</w:t>
      </w:r>
      <w:r w:rsidR="00B15E25" w:rsidRPr="00B15E25">
        <w:rPr>
          <w:sz w:val="16"/>
          <w:szCs w:val="16"/>
          <w:u w:val="single"/>
        </w:rPr>
        <w:t>ГИМНАЗИЯ № 1</w:t>
      </w:r>
      <w:r w:rsidR="005F64EC">
        <w:rPr>
          <w:sz w:val="16"/>
          <w:szCs w:val="16"/>
          <w:u w:val="single"/>
        </w:rPr>
        <w:t>»</w:t>
      </w:r>
      <w:r w:rsidR="00B15E25" w:rsidRPr="00B15E25">
        <w:rPr>
          <w:sz w:val="16"/>
          <w:szCs w:val="16"/>
          <w:u w:val="single"/>
        </w:rPr>
        <w:t xml:space="preserve"> Г. СЫКТЫВКАРА.</w:t>
      </w:r>
    </w:p>
    <w:p w:rsidR="004D4277" w:rsidRPr="00B15E25" w:rsidRDefault="004D4277" w:rsidP="004D4277">
      <w:pPr>
        <w:ind w:firstLine="567"/>
        <w:jc w:val="both"/>
        <w:rPr>
          <w:sz w:val="20"/>
          <w:szCs w:val="20"/>
        </w:rPr>
      </w:pPr>
      <w:r w:rsidRPr="00B15E25">
        <w:rPr>
          <w:sz w:val="20"/>
          <w:szCs w:val="20"/>
        </w:rPr>
        <w:t xml:space="preserve">Результаты независимой </w:t>
      </w:r>
      <w:proofErr w:type="gramStart"/>
      <w:r w:rsidRPr="00B15E25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B15E25">
        <w:rPr>
          <w:sz w:val="20"/>
          <w:szCs w:val="20"/>
        </w:rPr>
        <w:t xml:space="preserve"> были получены посредством:</w:t>
      </w:r>
    </w:p>
    <w:p w:rsidR="004D4277" w:rsidRPr="00B15E25" w:rsidRDefault="004D4277" w:rsidP="004D4277">
      <w:pPr>
        <w:ind w:firstLine="567"/>
        <w:jc w:val="both"/>
        <w:rPr>
          <w:sz w:val="20"/>
          <w:szCs w:val="20"/>
        </w:rPr>
      </w:pPr>
      <w:r w:rsidRPr="00B15E25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B15E2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B15E25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B15E25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B15E25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B15E25">
        <w:rPr>
          <w:b/>
          <w:i/>
          <w:sz w:val="20"/>
          <w:szCs w:val="20"/>
        </w:rPr>
        <w:t xml:space="preserve">Выборка </w:t>
      </w:r>
    </w:p>
    <w:p w:rsidR="004D4277" w:rsidRPr="00B15E25" w:rsidRDefault="004D4277" w:rsidP="004D4277">
      <w:pPr>
        <w:ind w:firstLine="567"/>
        <w:jc w:val="both"/>
        <w:rPr>
          <w:sz w:val="20"/>
          <w:szCs w:val="20"/>
        </w:rPr>
      </w:pPr>
      <w:r w:rsidRPr="00B15E25">
        <w:rPr>
          <w:sz w:val="20"/>
          <w:szCs w:val="20"/>
        </w:rPr>
        <w:t>Общереспубликанский показатель охвата респондентов по</w:t>
      </w:r>
      <w:r w:rsidRPr="00B15E25">
        <w:rPr>
          <w:i/>
          <w:sz w:val="20"/>
          <w:szCs w:val="20"/>
        </w:rPr>
        <w:t xml:space="preserve"> </w:t>
      </w:r>
      <w:r w:rsidRPr="00B15E25">
        <w:rPr>
          <w:sz w:val="20"/>
          <w:szCs w:val="20"/>
        </w:rPr>
        <w:t xml:space="preserve">общеобразовательным организациям (далее - ОО) Республики Коми составил </w:t>
      </w:r>
      <w:r w:rsidR="007F1337" w:rsidRPr="00B15E25">
        <w:rPr>
          <w:sz w:val="20"/>
          <w:szCs w:val="20"/>
        </w:rPr>
        <w:t>62,10</w:t>
      </w:r>
      <w:r w:rsidR="006A2646" w:rsidRPr="00B15E25">
        <w:rPr>
          <w:sz w:val="20"/>
          <w:szCs w:val="20"/>
        </w:rPr>
        <w:t xml:space="preserve"> </w:t>
      </w:r>
      <w:r w:rsidRPr="00B15E25">
        <w:rPr>
          <w:sz w:val="20"/>
          <w:szCs w:val="20"/>
        </w:rPr>
        <w:t>%.</w:t>
      </w:r>
    </w:p>
    <w:p w:rsidR="004D4277" w:rsidRPr="00B15E25" w:rsidRDefault="004D4277" w:rsidP="004D4277">
      <w:pPr>
        <w:ind w:firstLine="567"/>
        <w:jc w:val="both"/>
        <w:rPr>
          <w:sz w:val="20"/>
          <w:szCs w:val="20"/>
        </w:rPr>
      </w:pPr>
      <w:r w:rsidRPr="00B15E25">
        <w:rPr>
          <w:sz w:val="20"/>
          <w:szCs w:val="20"/>
        </w:rPr>
        <w:t xml:space="preserve">Выборка опрошенных </w:t>
      </w:r>
      <w:r w:rsidR="002F33E6" w:rsidRPr="00B15E25">
        <w:rPr>
          <w:sz w:val="20"/>
          <w:szCs w:val="20"/>
        </w:rPr>
        <w:t xml:space="preserve">посредством онлайн-анкеты </w:t>
      </w:r>
      <w:r w:rsidRPr="00B15E25">
        <w:rPr>
          <w:sz w:val="20"/>
          <w:szCs w:val="20"/>
        </w:rPr>
        <w:t xml:space="preserve">по </w:t>
      </w:r>
      <w:r w:rsidR="00B15E25" w:rsidRPr="00B15E25">
        <w:rPr>
          <w:sz w:val="16"/>
          <w:szCs w:val="16"/>
          <w:u w:val="single"/>
        </w:rPr>
        <w:t xml:space="preserve">МУНИЦИПАЛЬНОМУ АВТОНОМНОМУ ОБЩЕОБРАЗОВАТЕЛЬНОМУ УЧРЕЖДЕНИЮ </w:t>
      </w:r>
      <w:r w:rsidR="005F64EC">
        <w:rPr>
          <w:sz w:val="16"/>
          <w:szCs w:val="16"/>
          <w:u w:val="single"/>
        </w:rPr>
        <w:t>«</w:t>
      </w:r>
      <w:r w:rsidR="00B15E25" w:rsidRPr="00B15E25">
        <w:rPr>
          <w:sz w:val="16"/>
          <w:szCs w:val="16"/>
          <w:u w:val="single"/>
        </w:rPr>
        <w:t>ГИМНАЗИЯ № 1</w:t>
      </w:r>
      <w:r w:rsidR="005F64EC">
        <w:rPr>
          <w:sz w:val="16"/>
          <w:szCs w:val="16"/>
          <w:u w:val="single"/>
        </w:rPr>
        <w:t>»</w:t>
      </w:r>
      <w:r w:rsidR="00B15E25" w:rsidRPr="00B15E25">
        <w:rPr>
          <w:sz w:val="16"/>
          <w:szCs w:val="16"/>
          <w:u w:val="single"/>
        </w:rPr>
        <w:t xml:space="preserve"> Г. СЫКТЫВКАРА</w:t>
      </w:r>
      <w:r w:rsidR="00FE664F" w:rsidRPr="00B15E25">
        <w:rPr>
          <w:sz w:val="20"/>
          <w:szCs w:val="20"/>
        </w:rPr>
        <w:t xml:space="preserve"> </w:t>
      </w:r>
      <w:r w:rsidRPr="00B15E25">
        <w:rPr>
          <w:sz w:val="20"/>
          <w:szCs w:val="20"/>
        </w:rPr>
        <w:t xml:space="preserve">составила </w:t>
      </w:r>
      <w:r w:rsidR="00B15E25" w:rsidRPr="00B15E25">
        <w:rPr>
          <w:sz w:val="20"/>
          <w:szCs w:val="20"/>
        </w:rPr>
        <w:t>435</w:t>
      </w:r>
      <w:r w:rsidR="002F33E6" w:rsidRPr="00B15E25">
        <w:rPr>
          <w:sz w:val="20"/>
          <w:szCs w:val="20"/>
        </w:rPr>
        <w:t xml:space="preserve"> респондентов (</w:t>
      </w:r>
      <w:r w:rsidR="00B15E25" w:rsidRPr="00B15E25">
        <w:rPr>
          <w:sz w:val="20"/>
          <w:szCs w:val="20"/>
        </w:rPr>
        <w:t>54,38</w:t>
      </w:r>
      <w:r w:rsidR="002F33E6" w:rsidRPr="00B15E25">
        <w:rPr>
          <w:sz w:val="20"/>
          <w:szCs w:val="20"/>
        </w:rPr>
        <w:t xml:space="preserve"> % от общего количества потребителей услуг)</w:t>
      </w:r>
      <w:r w:rsidRPr="00B15E25">
        <w:rPr>
          <w:sz w:val="20"/>
          <w:szCs w:val="20"/>
        </w:rPr>
        <w:t xml:space="preserve">. Данный факт показывает </w:t>
      </w:r>
      <w:r w:rsidR="00B15E25" w:rsidRPr="00B15E25">
        <w:rPr>
          <w:sz w:val="20"/>
          <w:szCs w:val="20"/>
        </w:rPr>
        <w:t>среднюю</w:t>
      </w:r>
      <w:r w:rsidRPr="00B15E25">
        <w:rPr>
          <w:sz w:val="20"/>
          <w:szCs w:val="20"/>
        </w:rPr>
        <w:t xml:space="preserve"> активность респондентов</w:t>
      </w:r>
      <w:r w:rsidR="00B15E25" w:rsidRPr="00B15E25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3973"/>
        <w:gridCol w:w="1275"/>
        <w:gridCol w:w="1418"/>
        <w:gridCol w:w="1241"/>
        <w:gridCol w:w="1262"/>
      </w:tblGrid>
      <w:tr w:rsidR="00B37328" w:rsidRPr="00904EF7" w:rsidTr="00B37328">
        <w:trPr>
          <w:trHeight w:val="845"/>
        </w:trPr>
        <w:tc>
          <w:tcPr>
            <w:tcW w:w="4395" w:type="dxa"/>
            <w:gridSpan w:val="2"/>
            <w:vAlign w:val="center"/>
          </w:tcPr>
          <w:p w:rsidR="00B37328" w:rsidRPr="00904EF7" w:rsidRDefault="00B37328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 xml:space="preserve">Показатели, </w:t>
            </w:r>
          </w:p>
          <w:p w:rsidR="00B37328" w:rsidRPr="00904EF7" w:rsidRDefault="00B37328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5" w:type="dxa"/>
            <w:vAlign w:val="center"/>
          </w:tcPr>
          <w:p w:rsidR="00B37328" w:rsidRPr="00904EF7" w:rsidRDefault="00B37328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418" w:type="dxa"/>
            <w:vAlign w:val="center"/>
          </w:tcPr>
          <w:p w:rsidR="00B37328" w:rsidRPr="00904EF7" w:rsidRDefault="00B37328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904EF7" w:rsidRDefault="00B37328" w:rsidP="00B15E25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904EF7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904EF7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904EF7" w:rsidRDefault="00B37328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904EF7" w:rsidRDefault="00B37328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по РК</w:t>
            </w:r>
          </w:p>
        </w:tc>
      </w:tr>
      <w:tr w:rsidR="00B37328" w:rsidRPr="00904EF7" w:rsidTr="005F64EC">
        <w:trPr>
          <w:trHeight w:val="337"/>
        </w:trPr>
        <w:tc>
          <w:tcPr>
            <w:tcW w:w="9591" w:type="dxa"/>
            <w:gridSpan w:val="6"/>
            <w:vAlign w:val="center"/>
          </w:tcPr>
          <w:p w:rsidR="00B37328" w:rsidRPr="00904EF7" w:rsidRDefault="00B37328" w:rsidP="00B15E25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C57BDE" w:rsidRPr="00904EF7" w:rsidTr="00B15E25">
        <w:trPr>
          <w:trHeight w:val="1132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proofErr w:type="gramStart"/>
            <w:r w:rsidRPr="00904EF7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5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bookmarkStart w:id="0" w:name="_GoBack"/>
        <w:bookmarkEnd w:id="0"/>
      </w:tr>
      <w:tr w:rsidR="00C57BDE" w:rsidRPr="00904EF7" w:rsidTr="00B15E25">
        <w:trPr>
          <w:trHeight w:val="356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1.1.1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3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1.1.2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98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1.2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1.2.1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proofErr w:type="gramStart"/>
            <w:r w:rsidRPr="00904EF7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1.3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color w:val="000000"/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1.3.1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5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37328">
        <w:trPr>
          <w:trHeight w:val="839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1.3.2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8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5F64EC">
        <w:trPr>
          <w:trHeight w:val="493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b/>
                <w:sz w:val="18"/>
                <w:szCs w:val="18"/>
                <w:highlight w:val="lightGray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  <w:highlight w:val="lightGray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97,</w:t>
            </w:r>
            <w:r w:rsidR="00B15E25" w:rsidRPr="00904EF7">
              <w:rPr>
                <w:b/>
                <w:bCs/>
                <w:sz w:val="18"/>
                <w:szCs w:val="18"/>
              </w:rPr>
              <w:t>3</w:t>
            </w:r>
            <w:r w:rsidRPr="00904EF7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91,83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93,92</w:t>
            </w:r>
          </w:p>
        </w:tc>
      </w:tr>
      <w:tr w:rsidR="00C57BDE" w:rsidRPr="00904EF7" w:rsidTr="005F64EC">
        <w:trPr>
          <w:trHeight w:val="406"/>
        </w:trPr>
        <w:tc>
          <w:tcPr>
            <w:tcW w:w="9591" w:type="dxa"/>
            <w:gridSpan w:val="6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C57BDE" w:rsidRPr="00904EF7" w:rsidTr="005F64EC">
        <w:trPr>
          <w:trHeight w:val="709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2.1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5F64EC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904EF7" w:rsidTr="005F64EC">
        <w:trPr>
          <w:trHeight w:val="1824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2.1.1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5F64EC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62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C57BDE" w:rsidRPr="00904EF7" w:rsidTr="005F64EC">
        <w:trPr>
          <w:trHeight w:val="716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2.3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5F64EC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5F64EC">
        <w:trPr>
          <w:trHeight w:val="699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2.3.1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5F64EC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5F64EC">
        <w:trPr>
          <w:trHeight w:val="519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97,50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95,97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96,95</w:t>
            </w:r>
          </w:p>
        </w:tc>
      </w:tr>
      <w:tr w:rsidR="00C57BDE" w:rsidRPr="00904EF7" w:rsidTr="005F64EC">
        <w:trPr>
          <w:trHeight w:val="429"/>
        </w:trPr>
        <w:tc>
          <w:tcPr>
            <w:tcW w:w="9591" w:type="dxa"/>
            <w:gridSpan w:val="6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</w:t>
            </w:r>
            <w:r w:rsidR="00C57BDE" w:rsidRPr="00904EF7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904EF7" w:rsidTr="00B15E25">
        <w:trPr>
          <w:trHeight w:val="2067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3.1.1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proofErr w:type="gramStart"/>
            <w:r w:rsidRPr="00904EF7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</w:t>
            </w:r>
            <w:r w:rsidR="00C57BDE" w:rsidRPr="00904EF7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17</w:t>
            </w:r>
          </w:p>
        </w:tc>
      </w:tr>
      <w:tr w:rsidR="00C57BDE" w:rsidRPr="00904EF7" w:rsidTr="005F64EC">
        <w:trPr>
          <w:trHeight w:val="704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3.2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8</w:t>
            </w:r>
            <w:r w:rsidR="00C57BDE" w:rsidRPr="00904EF7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904EF7" w:rsidTr="00B15E25">
        <w:trPr>
          <w:trHeight w:val="3952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3.2.1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proofErr w:type="gramStart"/>
            <w:r w:rsidRPr="00904EF7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904EF7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8</w:t>
            </w:r>
            <w:r w:rsidR="00C57BDE" w:rsidRPr="00904EF7">
              <w:rPr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55</w:t>
            </w:r>
          </w:p>
        </w:tc>
      </w:tr>
      <w:tr w:rsidR="00C57BDE" w:rsidRPr="00904EF7" w:rsidTr="005F64EC">
        <w:trPr>
          <w:trHeight w:val="701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3.3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904EF7" w:rsidTr="00B15E25">
        <w:trPr>
          <w:trHeight w:val="567"/>
        </w:trPr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3.3.1</w:t>
            </w:r>
          </w:p>
        </w:tc>
        <w:tc>
          <w:tcPr>
            <w:tcW w:w="3973" w:type="dxa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82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68</w:t>
            </w:r>
          </w:p>
        </w:tc>
      </w:tr>
      <w:tr w:rsidR="00C57BDE" w:rsidRPr="00904EF7" w:rsidTr="00B15E25">
        <w:trPr>
          <w:trHeight w:val="617"/>
        </w:trPr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68,60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49,09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47,64</w:t>
            </w:r>
          </w:p>
        </w:tc>
      </w:tr>
      <w:tr w:rsidR="00C57BDE" w:rsidRPr="00904EF7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4.1.1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4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4.2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4.2.1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4.3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7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4.3.1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proofErr w:type="gramStart"/>
            <w:r w:rsidRPr="00904EF7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7</w:t>
            </w:r>
          </w:p>
        </w:tc>
        <w:tc>
          <w:tcPr>
            <w:tcW w:w="1241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95</w:t>
            </w:r>
          </w:p>
        </w:tc>
      </w:tr>
      <w:tr w:rsidR="00C57BDE" w:rsidRPr="00904EF7" w:rsidTr="00B15E25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</w:t>
            </w:r>
            <w:r w:rsidR="00B15E25" w:rsidRPr="00904EF7">
              <w:rPr>
                <w:b/>
                <w:bCs/>
                <w:sz w:val="18"/>
                <w:szCs w:val="18"/>
              </w:rPr>
              <w:t>5</w:t>
            </w:r>
            <w:r w:rsidRPr="00904EF7">
              <w:rPr>
                <w:b/>
                <w:bCs/>
                <w:sz w:val="18"/>
                <w:szCs w:val="18"/>
              </w:rPr>
              <w:t>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93,90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94,47</w:t>
            </w:r>
          </w:p>
        </w:tc>
      </w:tr>
      <w:tr w:rsidR="00C57BDE" w:rsidRPr="00904EF7" w:rsidTr="005F64EC">
        <w:trPr>
          <w:trHeight w:val="479"/>
        </w:trPr>
        <w:tc>
          <w:tcPr>
            <w:tcW w:w="9591" w:type="dxa"/>
            <w:gridSpan w:val="6"/>
            <w:vAlign w:val="center"/>
          </w:tcPr>
          <w:p w:rsidR="00C57BDE" w:rsidRPr="00904EF7" w:rsidRDefault="00C57BDE" w:rsidP="00B15E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5.1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92</w:t>
            </w:r>
          </w:p>
        </w:tc>
        <w:tc>
          <w:tcPr>
            <w:tcW w:w="1262" w:type="dxa"/>
            <w:vAlign w:val="center"/>
          </w:tcPr>
          <w:p w:rsidR="00C57BDE" w:rsidRPr="00904EF7" w:rsidRDefault="00C57BDE" w:rsidP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</w:t>
            </w:r>
            <w:r w:rsidR="00E72E50" w:rsidRPr="00904EF7">
              <w:rPr>
                <w:color w:val="000000"/>
                <w:sz w:val="18"/>
                <w:szCs w:val="18"/>
              </w:rPr>
              <w:t>3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5.1.1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C57BDE" w:rsidRPr="00904EF7" w:rsidRDefault="00C57BDE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92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93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5.2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5.2.1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C57BDE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5.3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22" w:type="dxa"/>
            <w:vAlign w:val="center"/>
          </w:tcPr>
          <w:p w:rsidR="00C57BDE" w:rsidRPr="00904EF7" w:rsidRDefault="00C57BDE" w:rsidP="00B15E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3973" w:type="dxa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5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</w:t>
            </w:r>
            <w:r w:rsidR="00B15E25" w:rsidRPr="00904EF7">
              <w:rPr>
                <w:sz w:val="18"/>
                <w:szCs w:val="18"/>
              </w:rPr>
              <w:t>6</w:t>
            </w:r>
          </w:p>
        </w:tc>
        <w:tc>
          <w:tcPr>
            <w:tcW w:w="1241" w:type="dxa"/>
            <w:vAlign w:val="center"/>
          </w:tcPr>
          <w:p w:rsidR="00C57BDE" w:rsidRPr="00904EF7" w:rsidRDefault="00E72E50">
            <w:pPr>
              <w:jc w:val="center"/>
              <w:rPr>
                <w:sz w:val="18"/>
                <w:szCs w:val="18"/>
              </w:rPr>
            </w:pPr>
            <w:r w:rsidRPr="00904EF7">
              <w:rPr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C57BDE" w:rsidRPr="00904EF7" w:rsidRDefault="00E72E50">
            <w:pPr>
              <w:jc w:val="center"/>
              <w:rPr>
                <w:color w:val="000000"/>
                <w:sz w:val="18"/>
                <w:szCs w:val="18"/>
              </w:rPr>
            </w:pPr>
            <w:r w:rsidRPr="00904EF7">
              <w:rPr>
                <w:color w:val="000000"/>
                <w:sz w:val="18"/>
                <w:szCs w:val="18"/>
              </w:rPr>
              <w:t>94</w:t>
            </w:r>
          </w:p>
        </w:tc>
      </w:tr>
      <w:tr w:rsidR="00C57BDE" w:rsidRPr="00904EF7" w:rsidTr="00B15E25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95,70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92,76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93,67</w:t>
            </w:r>
          </w:p>
        </w:tc>
      </w:tr>
      <w:tr w:rsidR="00C57BDE" w:rsidRPr="00904EF7" w:rsidTr="00B15E25">
        <w:tc>
          <w:tcPr>
            <w:tcW w:w="4395" w:type="dxa"/>
            <w:gridSpan w:val="2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rPr>
                <w:b/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C57BDE" w:rsidRPr="00904EF7" w:rsidRDefault="00C57BDE" w:rsidP="00B15E25">
            <w:pPr>
              <w:jc w:val="center"/>
              <w:rPr>
                <w:sz w:val="18"/>
                <w:szCs w:val="18"/>
              </w:rPr>
            </w:pPr>
            <w:r w:rsidRPr="00904EF7">
              <w:rPr>
                <w:b/>
                <w:sz w:val="18"/>
                <w:szCs w:val="18"/>
                <w:highlight w:val="lightGray"/>
              </w:rPr>
              <w:t>100</w:t>
            </w:r>
            <w:r w:rsidRPr="00904EF7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C57BDE" w:rsidRPr="00904EF7" w:rsidRDefault="00B15E25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90,90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sz w:val="18"/>
                <w:szCs w:val="18"/>
              </w:rPr>
            </w:pPr>
            <w:r w:rsidRPr="00904EF7">
              <w:rPr>
                <w:b/>
                <w:bCs/>
                <w:sz w:val="18"/>
                <w:szCs w:val="18"/>
              </w:rPr>
              <w:t>84,71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C57BDE" w:rsidRPr="00904EF7" w:rsidRDefault="00E72E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04EF7">
              <w:rPr>
                <w:b/>
                <w:bCs/>
                <w:color w:val="000000"/>
                <w:sz w:val="18"/>
                <w:szCs w:val="18"/>
              </w:rPr>
              <w:t>85,33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711AD0" w:rsidRPr="00711AD0" w:rsidRDefault="00711AD0" w:rsidP="00C71014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711AD0" w:rsidRPr="00711AD0" w:rsidRDefault="00711AD0" w:rsidP="00C71014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711AD0" w:rsidRPr="004D375F" w:rsidRDefault="00711AD0" w:rsidP="00711AD0">
      <w:pPr>
        <w:ind w:hanging="1134"/>
        <w:jc w:val="center"/>
        <w:rPr>
          <w:sz w:val="22"/>
          <w:szCs w:val="22"/>
        </w:rPr>
      </w:pPr>
    </w:p>
    <w:p w:rsidR="00323267" w:rsidRDefault="00323267" w:rsidP="00736AF8">
      <w:pPr>
        <w:pStyle w:val="ad"/>
      </w:pPr>
      <w:r w:rsidRPr="00736AF8">
        <w:rPr>
          <w:noProof/>
        </w:rPr>
        <w:drawing>
          <wp:inline distT="0" distB="0" distL="0" distR="0" wp14:anchorId="0211CAFC" wp14:editId="7FA4DF9D">
            <wp:extent cx="6029325" cy="3838575"/>
            <wp:effectExtent l="0" t="0" r="9525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B3A84" w:rsidRDefault="009B3A84" w:rsidP="001F1926">
      <w:pPr>
        <w:rPr>
          <w:sz w:val="20"/>
          <w:szCs w:val="20"/>
        </w:rPr>
      </w:pPr>
    </w:p>
    <w:p w:rsidR="009B3A84" w:rsidRDefault="009B3A84" w:rsidP="001F1926">
      <w:pPr>
        <w:rPr>
          <w:sz w:val="20"/>
          <w:szCs w:val="20"/>
        </w:rPr>
      </w:pP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9B3A84" w:rsidRPr="00E02453" w:rsidRDefault="009B3A84" w:rsidP="009B3A84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9B3A84" w:rsidRPr="00C011B4" w:rsidRDefault="00C011B4" w:rsidP="00D63BA6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C011B4">
        <w:rPr>
          <w:sz w:val="20"/>
          <w:szCs w:val="20"/>
        </w:rPr>
        <w:t xml:space="preserve">В рамках независимой </w:t>
      </w:r>
      <w:proofErr w:type="gramStart"/>
      <w:r w:rsidRPr="00C011B4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C011B4">
        <w:rPr>
          <w:sz w:val="20"/>
          <w:szCs w:val="20"/>
        </w:rPr>
        <w:t xml:space="preserve">                по организации выявлены достаточно высокие средние показатели. Наиболее высоко респонденты оценили </w:t>
      </w:r>
      <w:r w:rsidR="00D63BA6" w:rsidRPr="00C011B4">
        <w:rPr>
          <w:sz w:val="20"/>
          <w:szCs w:val="20"/>
        </w:rPr>
        <w:t>комфортность условий, в которых осуществляется образовательная деятельность</w:t>
      </w:r>
      <w:r w:rsidRPr="00C011B4">
        <w:rPr>
          <w:sz w:val="20"/>
          <w:szCs w:val="20"/>
        </w:rPr>
        <w:t xml:space="preserve"> (97,50 балла).</w:t>
      </w:r>
    </w:p>
    <w:p w:rsidR="00A70CA6" w:rsidRPr="00C011B4" w:rsidRDefault="00A70CA6" w:rsidP="009B3A84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5F64EC" w:rsidRDefault="005F64EC" w:rsidP="001224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наименьший балл по ОО:</w:t>
      </w:r>
    </w:p>
    <w:p w:rsidR="005F64EC" w:rsidRDefault="005F64EC" w:rsidP="0012248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</w:rPr>
      </w:pPr>
    </w:p>
    <w:p w:rsidR="005F64EC" w:rsidRDefault="005F64EC" w:rsidP="0012248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5F64EC" w:rsidRPr="00E80373" w:rsidRDefault="005F64EC" w:rsidP="005F64EC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i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Несмотря на достаточно высокий средний показатель организации по отношению к среднему значению по кластеру ОО, респонденты выделяют ряд проблем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 по оборудованию помещения образовательной организации и прилегающей к ней территории с учетом требований к обеспечению доступности для инвалидов,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DE48E9">
              <w:rPr>
                <w:rFonts w:ascii="Times New Roman" w:hAnsi="Times New Roman"/>
                <w:lang w:val="ru-RU" w:eastAsia="ru-RU"/>
              </w:rPr>
              <w:t>1</w:t>
            </w:r>
            <w:r w:rsidR="00FD7E3F" w:rsidRPr="00DE48E9">
              <w:rPr>
                <w:rFonts w:ascii="Times New Roman" w:hAnsi="Times New Roman"/>
                <w:lang w:val="ru-RU" w:eastAsia="ru-RU"/>
              </w:rPr>
              <w:t>. Выделенные стоянки для автотранспортных средств инвалидов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FD7E3F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. Адаптированные лифты, поручни, расширенные дверные проемы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a4"/>
              <w:widowControl w:val="0"/>
              <w:tabs>
                <w:tab w:val="left" w:pos="4824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FD7E3F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</w:t>
            </w:r>
            <w:r w:rsidR="00FD7E3F" w:rsidRPr="00DE48E9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FD7E3F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для инвалидов по слуху и зрению звуковой и зрительной информации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FD7E3F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FD7E3F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  <w:tr w:rsidR="00C5424C" w:rsidRPr="00C5424C" w:rsidTr="001A7943">
        <w:tc>
          <w:tcPr>
            <w:tcW w:w="9639" w:type="dxa"/>
          </w:tcPr>
          <w:p w:rsidR="00FD7E3F" w:rsidRPr="00DE48E9" w:rsidRDefault="00DE48E9" w:rsidP="00B15E2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DE48E9">
              <w:rPr>
                <w:rFonts w:ascii="Times New Roman" w:hAnsi="Times New Roman"/>
                <w:lang w:val="ru-RU" w:eastAsia="ru-RU"/>
              </w:rPr>
              <w:t>7</w:t>
            </w:r>
            <w:r w:rsidR="00FD7E3F" w:rsidRPr="00DE48E9">
              <w:rPr>
                <w:rFonts w:ascii="Times New Roman" w:hAnsi="Times New Roman"/>
                <w:lang w:val="ru-RU" w:eastAsia="ru-RU"/>
              </w:rPr>
              <w:t>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DE48E9" w:rsidRPr="00E02453" w:rsidRDefault="00DE48E9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EA2B98" w:rsidRPr="00E02453" w:rsidRDefault="00EA2B98" w:rsidP="00EA2B98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EA2B98" w:rsidRPr="00E02453" w:rsidRDefault="00EA2B98" w:rsidP="00EA2B9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EA2B98" w:rsidRPr="00E02453" w:rsidRDefault="00EA2B98" w:rsidP="00EA2B98">
      <w:pPr>
        <w:widowControl w:val="0"/>
        <w:rPr>
          <w:b/>
          <w:sz w:val="20"/>
          <w:szCs w:val="20"/>
        </w:rPr>
      </w:pPr>
    </w:p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EA2B98" w:rsidRDefault="00B9576A" w:rsidP="00EA2B98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 w:rsidR="005F64EC"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 w:rsidR="005F64EC"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p w:rsidR="008576E3" w:rsidRPr="00E02453" w:rsidRDefault="008576E3" w:rsidP="00EA2B98">
      <w:pPr>
        <w:ind w:firstLine="567"/>
        <w:jc w:val="both"/>
        <w:rPr>
          <w:color w:val="000000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C5424C" w:rsidRPr="00C5424C" w:rsidTr="005F64EC">
        <w:tc>
          <w:tcPr>
            <w:tcW w:w="9639" w:type="dxa"/>
          </w:tcPr>
          <w:p w:rsidR="00EA2B98" w:rsidRPr="00DE48E9" w:rsidRDefault="00DE48E9" w:rsidP="00B15E25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DE48E9">
              <w:rPr>
                <w:rFonts w:ascii="Times New Roman" w:hAnsi="Times New Roman"/>
                <w:lang w:val="ru-RU" w:eastAsia="ru-RU"/>
              </w:rPr>
              <w:t>1</w:t>
            </w:r>
            <w:r w:rsidR="00EA2B98" w:rsidRPr="00DE48E9">
              <w:rPr>
                <w:rFonts w:ascii="Times New Roman" w:hAnsi="Times New Roman"/>
                <w:lang w:val="ru-RU" w:eastAsia="ru-RU"/>
              </w:rPr>
              <w:t>. Выделенными стоянками для автотранспортных средств инвалидов</w:t>
            </w:r>
          </w:p>
        </w:tc>
      </w:tr>
      <w:tr w:rsidR="00C5424C" w:rsidRPr="00C5424C" w:rsidTr="005F64EC">
        <w:tc>
          <w:tcPr>
            <w:tcW w:w="9639" w:type="dxa"/>
          </w:tcPr>
          <w:p w:rsidR="00EA2B98" w:rsidRPr="00DE48E9" w:rsidRDefault="00DE48E9" w:rsidP="00B15E25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EA2B98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. Адаптированными лифтами, поручнями, расширенными дверными проемами</w:t>
            </w:r>
          </w:p>
        </w:tc>
      </w:tr>
      <w:tr w:rsidR="00C5424C" w:rsidRPr="00C5424C" w:rsidTr="005F64EC">
        <w:tc>
          <w:tcPr>
            <w:tcW w:w="9639" w:type="dxa"/>
          </w:tcPr>
          <w:p w:rsidR="00EA2B98" w:rsidRPr="00DE48E9" w:rsidRDefault="00DE48E9" w:rsidP="00B15E25">
            <w:pPr>
              <w:pStyle w:val="a4"/>
              <w:widowControl w:val="0"/>
              <w:tabs>
                <w:tab w:val="left" w:pos="4824"/>
              </w:tabs>
              <w:spacing w:after="0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EA2B98"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. Специально оборудованными санитарно-гигиеническими помещениями в организации </w:t>
            </w:r>
          </w:p>
        </w:tc>
      </w:tr>
    </w:tbl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</w:p>
    <w:p w:rsidR="00C5424C" w:rsidRDefault="00C5424C" w:rsidP="00EA2B98">
      <w:pPr>
        <w:ind w:firstLine="567"/>
        <w:jc w:val="both"/>
        <w:rPr>
          <w:color w:val="000000"/>
          <w:sz w:val="20"/>
          <w:szCs w:val="20"/>
        </w:rPr>
      </w:pPr>
    </w:p>
    <w:p w:rsidR="00EA2B98" w:rsidRPr="00E02453" w:rsidRDefault="00EA2B98" w:rsidP="00EA2B98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 w:rsidR="005F64EC">
        <w:rPr>
          <w:color w:val="000000"/>
          <w:sz w:val="20"/>
          <w:szCs w:val="20"/>
        </w:rPr>
        <w:t xml:space="preserve">                         </w:t>
      </w:r>
      <w:r w:rsidRPr="00E02453">
        <w:rPr>
          <w:color w:val="000000"/>
          <w:sz w:val="20"/>
          <w:szCs w:val="20"/>
        </w:rPr>
        <w:t>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C5424C" w:rsidRPr="00C5424C" w:rsidTr="005F64EC">
        <w:tc>
          <w:tcPr>
            <w:tcW w:w="9606" w:type="dxa"/>
          </w:tcPr>
          <w:p w:rsidR="00EA2B98" w:rsidRPr="00DE48E9" w:rsidRDefault="00EA2B98" w:rsidP="005F64EC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C5424C" w:rsidRPr="00C5424C" w:rsidTr="005F64EC">
        <w:tc>
          <w:tcPr>
            <w:tcW w:w="9606" w:type="dxa"/>
          </w:tcPr>
          <w:p w:rsidR="00EA2B98" w:rsidRPr="00DE48E9" w:rsidRDefault="00EA2B98" w:rsidP="005F64EC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C5424C" w:rsidRPr="00C5424C" w:rsidTr="005F64EC">
        <w:tc>
          <w:tcPr>
            <w:tcW w:w="9606" w:type="dxa"/>
          </w:tcPr>
          <w:p w:rsidR="00EA2B98" w:rsidRPr="00DE48E9" w:rsidRDefault="00EA2B98" w:rsidP="005F64EC">
            <w:pPr>
              <w:pStyle w:val="a4"/>
              <w:widowControl w:val="0"/>
              <w:spacing w:after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E48E9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  <w:tr w:rsidR="00C5424C" w:rsidRPr="00C5424C" w:rsidTr="005F64EC">
        <w:tc>
          <w:tcPr>
            <w:tcW w:w="9606" w:type="dxa"/>
          </w:tcPr>
          <w:p w:rsidR="00EA2B98" w:rsidRPr="00DE48E9" w:rsidRDefault="00DE48E9" w:rsidP="005F64EC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DE48E9">
              <w:rPr>
                <w:rFonts w:ascii="Times New Roman" w:hAnsi="Times New Roman"/>
                <w:lang w:val="ru-RU" w:eastAsia="ru-RU"/>
              </w:rPr>
              <w:t>4</w:t>
            </w:r>
            <w:r w:rsidR="00EA2B98" w:rsidRPr="00DE48E9">
              <w:rPr>
                <w:rFonts w:ascii="Times New Roman" w:hAnsi="Times New Roman"/>
                <w:lang w:val="ru-RU" w:eastAsia="ru-RU"/>
              </w:rPr>
              <w:t>. Помощь, оказываемая работниками организации, прошедшими необходимое обучение (инструктирование) по сопровождению инвалидов в помещениях организации и на прилегающей территории</w:t>
            </w:r>
          </w:p>
        </w:tc>
      </w:tr>
    </w:tbl>
    <w:p w:rsidR="00EA2B98" w:rsidRPr="00E02453" w:rsidRDefault="00EA2B98" w:rsidP="00EA2B9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sectPr w:rsidR="00EA2B98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0C6" w:rsidRDefault="00A330C6" w:rsidP="00A7093F">
      <w:r>
        <w:separator/>
      </w:r>
    </w:p>
  </w:endnote>
  <w:endnote w:type="continuationSeparator" w:id="0">
    <w:p w:rsidR="00A330C6" w:rsidRDefault="00A330C6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0C6" w:rsidRDefault="00A330C6" w:rsidP="00A7093F">
      <w:r>
        <w:separator/>
      </w:r>
    </w:p>
  </w:footnote>
  <w:footnote w:type="continuationSeparator" w:id="0">
    <w:p w:rsidR="00A330C6" w:rsidRDefault="00A330C6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303D8"/>
    <w:rsid w:val="00033B58"/>
    <w:rsid w:val="00044C3B"/>
    <w:rsid w:val="00047ED2"/>
    <w:rsid w:val="000619AF"/>
    <w:rsid w:val="000673D6"/>
    <w:rsid w:val="00073FEB"/>
    <w:rsid w:val="00091A4C"/>
    <w:rsid w:val="00092F84"/>
    <w:rsid w:val="000A224A"/>
    <w:rsid w:val="000C2AA3"/>
    <w:rsid w:val="000C36FC"/>
    <w:rsid w:val="000D4DF5"/>
    <w:rsid w:val="000E3D8A"/>
    <w:rsid w:val="000E77E7"/>
    <w:rsid w:val="0010121A"/>
    <w:rsid w:val="00101C37"/>
    <w:rsid w:val="00104CE2"/>
    <w:rsid w:val="001118E3"/>
    <w:rsid w:val="00120A1E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D4277"/>
    <w:rsid w:val="004E0C66"/>
    <w:rsid w:val="004E1A57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6936"/>
    <w:rsid w:val="0058037F"/>
    <w:rsid w:val="005840A5"/>
    <w:rsid w:val="005A2C40"/>
    <w:rsid w:val="005E1783"/>
    <w:rsid w:val="005E5C26"/>
    <w:rsid w:val="005F64EC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6AF8"/>
    <w:rsid w:val="007401C1"/>
    <w:rsid w:val="00744821"/>
    <w:rsid w:val="0074589B"/>
    <w:rsid w:val="00746DCC"/>
    <w:rsid w:val="00751128"/>
    <w:rsid w:val="00765BB9"/>
    <w:rsid w:val="00781639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36BA9"/>
    <w:rsid w:val="00851300"/>
    <w:rsid w:val="00856494"/>
    <w:rsid w:val="008568BE"/>
    <w:rsid w:val="008576E3"/>
    <w:rsid w:val="00860C08"/>
    <w:rsid w:val="00863554"/>
    <w:rsid w:val="00887480"/>
    <w:rsid w:val="008A3116"/>
    <w:rsid w:val="008A5C75"/>
    <w:rsid w:val="008B2161"/>
    <w:rsid w:val="008F3F35"/>
    <w:rsid w:val="008F400F"/>
    <w:rsid w:val="00904EF7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862C5"/>
    <w:rsid w:val="00987D09"/>
    <w:rsid w:val="00992411"/>
    <w:rsid w:val="009A55EB"/>
    <w:rsid w:val="009A6A7A"/>
    <w:rsid w:val="009B3A84"/>
    <w:rsid w:val="009C21DC"/>
    <w:rsid w:val="009D09D3"/>
    <w:rsid w:val="009E6CED"/>
    <w:rsid w:val="00A0686F"/>
    <w:rsid w:val="00A12C70"/>
    <w:rsid w:val="00A16D43"/>
    <w:rsid w:val="00A2756D"/>
    <w:rsid w:val="00A27A55"/>
    <w:rsid w:val="00A330C6"/>
    <w:rsid w:val="00A334A5"/>
    <w:rsid w:val="00A52701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15E25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3F17"/>
    <w:rsid w:val="00BE493D"/>
    <w:rsid w:val="00BF0F8B"/>
    <w:rsid w:val="00BF6274"/>
    <w:rsid w:val="00C011B4"/>
    <w:rsid w:val="00C02DA1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C0058"/>
    <w:rsid w:val="00CD1A27"/>
    <w:rsid w:val="00D06551"/>
    <w:rsid w:val="00D14EFA"/>
    <w:rsid w:val="00D420AC"/>
    <w:rsid w:val="00D42959"/>
    <w:rsid w:val="00D43AAB"/>
    <w:rsid w:val="00D63BA6"/>
    <w:rsid w:val="00D977ED"/>
    <w:rsid w:val="00DA5F96"/>
    <w:rsid w:val="00DB0B22"/>
    <w:rsid w:val="00DB612B"/>
    <w:rsid w:val="00DC2E77"/>
    <w:rsid w:val="00DC3990"/>
    <w:rsid w:val="00DD10E3"/>
    <w:rsid w:val="00DE48E9"/>
    <w:rsid w:val="00DE5E57"/>
    <w:rsid w:val="00DF5510"/>
    <w:rsid w:val="00DF7C09"/>
    <w:rsid w:val="00E0186E"/>
    <w:rsid w:val="00E02453"/>
    <w:rsid w:val="00E0320E"/>
    <w:rsid w:val="00E32E2D"/>
    <w:rsid w:val="00E45E96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E7AA-4A28-BD24-DC3C1F7B71ED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3-E7AA-4A28-BD24-DC3C1F7B71ED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7AA-4A28-BD24-DC3C1F7B71ED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7AA-4A28-BD24-DC3C1F7B71ED}"/>
              </c:ext>
            </c:extLst>
          </c:dPt>
          <c:dLbls>
            <c:dLbl>
              <c:idx val="0"/>
              <c:layout>
                <c:manualLayout>
                  <c:x val="0"/>
                  <c:y val="3.11751966408452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E7AA-4A28-BD24-DC3C1F7B71ED}"/>
                </c:ext>
              </c:extLst>
            </c:dLbl>
            <c:dLbl>
              <c:idx val="1"/>
              <c:layout>
                <c:manualLayout>
                  <c:x val="-2.1065376306635044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E7AA-4A28-BD24-DC3C1F7B71ED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E7AA-4A28-BD24-DC3C1F7B71ED}"/>
                </c:ext>
              </c:extLst>
            </c:dLbl>
            <c:dLbl>
              <c:idx val="3"/>
              <c:layout>
                <c:manualLayout>
                  <c:x val="-2.1065427167603606E-3"/>
                  <c:y val="6.6293490869842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AA-4A28-BD24-DC3C1F7B71ED}"/>
                </c:ext>
              </c:extLst>
            </c:dLbl>
            <c:dLbl>
              <c:idx val="4"/>
              <c:layout>
                <c:manualLayout>
                  <c:x val="0"/>
                  <c:y val="6.62622584136983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E7E5-4727-9A68-50C19A3484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#,##0.00_р_.</c:formatCode>
                <c:ptCount val="5"/>
                <c:pt idx="0">
                  <c:v>97.3</c:v>
                </c:pt>
                <c:pt idx="1">
                  <c:v>97.5</c:v>
                </c:pt>
                <c:pt idx="2">
                  <c:v>68.599999999999994</c:v>
                </c:pt>
                <c:pt idx="3">
                  <c:v>95.4</c:v>
                </c:pt>
                <c:pt idx="4">
                  <c:v>95.7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E7AA-4A28-BD24-DC3C1F7B71E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1900563756324E-3"/>
                  <c:y val="9.9373867335457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E7E5-4727-9A68-50C19A34846B}"/>
                </c:ext>
              </c:extLst>
            </c:dLbl>
            <c:dLbl>
              <c:idx val="1"/>
              <c:layout>
                <c:manualLayout>
                  <c:x val="2.2395072420902688E-3"/>
                  <c:y val="1.3143138086236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E7AA-4A28-BD24-DC3C1F7B71ED}"/>
                </c:ext>
              </c:extLst>
            </c:dLbl>
            <c:dLbl>
              <c:idx val="2"/>
              <c:layout>
                <c:manualLayout>
                  <c:x val="4.0769708757952177E-3"/>
                  <c:y val="7.81410025670476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E7AA-4A28-BD24-DC3C1F7B71ED}"/>
                </c:ext>
              </c:extLst>
            </c:dLbl>
            <c:dLbl>
              <c:idx val="3"/>
              <c:layout>
                <c:manualLayout>
                  <c:x val="4.0787945787610887E-3"/>
                  <c:y val="9.83744287388568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E7AA-4A28-BD24-DC3C1F7B71ED}"/>
                </c:ext>
              </c:extLst>
            </c:dLbl>
            <c:dLbl>
              <c:idx val="4"/>
              <c:layout>
                <c:manualLayout>
                  <c:x val="4.2109191327385853E-3"/>
                  <c:y val="9.9344157662674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E7E5-4727-9A68-50C19A34846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91.83</c:v>
                </c:pt>
                <c:pt idx="1">
                  <c:v>95.97</c:v>
                </c:pt>
                <c:pt idx="2">
                  <c:v>49.09</c:v>
                </c:pt>
                <c:pt idx="3">
                  <c:v>93.9</c:v>
                </c:pt>
                <c:pt idx="4">
                  <c:v>92.76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E7AA-4A28-BD24-DC3C1F7B7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3199744"/>
        <c:axId val="93205632"/>
      </c:barChart>
      <c:catAx>
        <c:axId val="931997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93205632"/>
        <c:crosses val="autoZero"/>
        <c:auto val="1"/>
        <c:lblAlgn val="ctr"/>
        <c:lblOffset val="100"/>
        <c:noMultiLvlLbl val="0"/>
      </c:catAx>
      <c:valAx>
        <c:axId val="93205632"/>
        <c:scaling>
          <c:orientation val="minMax"/>
        </c:scaling>
        <c:delete val="0"/>
        <c:axPos val="l"/>
        <c:majorGridlines/>
        <c:numFmt formatCode="#,##0.00_р_." sourceLinked="1"/>
        <c:majorTickMark val="out"/>
        <c:minorTickMark val="none"/>
        <c:tickLblPos val="nextTo"/>
        <c:crossAx val="931997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CF265-3004-4E4C-A2CE-45B60823A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1837</Words>
  <Characters>10474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97</cp:revision>
  <cp:lastPrinted>2021-10-14T06:48:00Z</cp:lastPrinted>
  <dcterms:created xsi:type="dcterms:W3CDTF">2019-10-24T12:51:00Z</dcterms:created>
  <dcterms:modified xsi:type="dcterms:W3CDTF">2021-10-27T08:28:00Z</dcterms:modified>
</cp:coreProperties>
</file>