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3544"/>
        <w:gridCol w:w="825"/>
        <w:gridCol w:w="3109"/>
      </w:tblGrid>
      <w:tr w:rsidR="009C4C7A" w:rsidRPr="00740627" w:rsidTr="00F10F3D">
        <w:tc>
          <w:tcPr>
            <w:tcW w:w="10314" w:type="dxa"/>
            <w:gridSpan w:val="4"/>
          </w:tcPr>
          <w:p w:rsidR="00DF72D6" w:rsidRDefault="009C4C7A" w:rsidP="00DF7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740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Ключевые мероприятия </w:t>
            </w:r>
            <w:r w:rsidR="00DF7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национального </w:t>
            </w:r>
            <w:r w:rsidRPr="00740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</w:t>
            </w:r>
            <w:r w:rsidR="00DF72D6">
              <w:rPr>
                <w:rFonts w:ascii="Times New Roman" w:hAnsi="Times New Roman" w:cs="Times New Roman"/>
                <w:b/>
                <w:sz w:val="24"/>
                <w:szCs w:val="24"/>
              </w:rPr>
              <w:t>а «Образование»</w:t>
            </w:r>
            <w:r w:rsidRPr="00740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7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4C7A" w:rsidRPr="00740627" w:rsidRDefault="00DF72D6" w:rsidP="00DF7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МО ГО «Сыктывкар»</w:t>
            </w:r>
            <w:bookmarkEnd w:id="0"/>
          </w:p>
        </w:tc>
      </w:tr>
      <w:tr w:rsidR="009C4C7A" w:rsidRPr="00740627" w:rsidTr="00F10F3D">
        <w:trPr>
          <w:trHeight w:val="646"/>
        </w:trPr>
        <w:tc>
          <w:tcPr>
            <w:tcW w:w="2836" w:type="dxa"/>
          </w:tcPr>
          <w:p w:rsidR="009C4C7A" w:rsidRPr="00740627" w:rsidRDefault="009C4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  <w:gridSpan w:val="2"/>
          </w:tcPr>
          <w:p w:rsidR="009C4C7A" w:rsidRPr="00740627" w:rsidRDefault="009C4C7A" w:rsidP="009C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109" w:type="dxa"/>
          </w:tcPr>
          <w:p w:rsidR="009C4C7A" w:rsidRPr="00740627" w:rsidRDefault="009C4C7A" w:rsidP="009C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F10F3D" w:rsidRPr="00740627" w:rsidTr="00F10F3D">
        <w:tc>
          <w:tcPr>
            <w:tcW w:w="2836" w:type="dxa"/>
            <w:vMerge w:val="restart"/>
          </w:tcPr>
          <w:p w:rsidR="00F10F3D" w:rsidRPr="00740627" w:rsidRDefault="00F10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школа</w:t>
            </w:r>
          </w:p>
        </w:tc>
        <w:tc>
          <w:tcPr>
            <w:tcW w:w="4369" w:type="dxa"/>
            <w:gridSpan w:val="2"/>
          </w:tcPr>
          <w:p w:rsidR="00F10F3D" w:rsidRPr="00740627" w:rsidRDefault="00F10F3D" w:rsidP="009C4C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C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оздано 120 новых ученических мест, из них: в МАОУ «СОШ № 4» - 100 мест (4 класса), в том числе 78 мест (3 класса) в здании по адресу: ул. К. Маркса, д.223а, 22 места (1 класс) в здании по адресу: ул. Орджоникидзе, д.44; в МОУ «СОШ № 3» по адресу: ул. </w:t>
            </w:r>
            <w:proofErr w:type="spellStart"/>
            <w:r w:rsidRPr="009C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Тентюковская</w:t>
            </w:r>
            <w:proofErr w:type="spellEnd"/>
            <w:r w:rsidRPr="009C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д.353 - 20 мест (1 класс).</w:t>
            </w:r>
            <w:proofErr w:type="gramEnd"/>
          </w:p>
        </w:tc>
        <w:tc>
          <w:tcPr>
            <w:tcW w:w="3109" w:type="dxa"/>
          </w:tcPr>
          <w:p w:rsidR="00F10F3D" w:rsidRPr="00CE30A2" w:rsidRDefault="00F10F3D" w:rsidP="00CE3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0A2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планируется </w:t>
            </w:r>
            <w:r w:rsidRPr="00CE3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ввести в эксплуатацию объект «Школа на 1200 мест по ул. </w:t>
            </w:r>
            <w:proofErr w:type="gramStart"/>
            <w:r w:rsidRPr="00CE3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Петрозаводской</w:t>
            </w:r>
            <w:proofErr w:type="gramEnd"/>
            <w:r w:rsidRPr="00CE3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10F3D" w:rsidRPr="00CE30A2" w:rsidRDefault="00F10F3D" w:rsidP="00CE30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E3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школы на 600 мест по ул. </w:t>
            </w:r>
            <w:proofErr w:type="spellStart"/>
            <w:r w:rsidRPr="00CE3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Новозатонская</w:t>
            </w:r>
            <w:proofErr w:type="spellEnd"/>
            <w:r w:rsidRPr="00CE3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E3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Краснозатонский (готовность объекта на 30.01.2020 -58%; стоимость объекта-</w:t>
            </w:r>
            <w:r w:rsidRPr="00CE30A2">
              <w:rPr>
                <w:rFonts w:ascii="Times New Roman" w:hAnsi="Times New Roman" w:cs="Times New Roman"/>
                <w:sz w:val="24"/>
                <w:szCs w:val="24"/>
              </w:rPr>
              <w:t>498 336,73 тыс. рублей,  из них привлечено из вышестоящих уровней бюджета 470 331,90 тыс. рублей.</w:t>
            </w:r>
            <w:proofErr w:type="gramEnd"/>
            <w:r w:rsidRPr="00CE3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E30A2">
              <w:rPr>
                <w:rFonts w:ascii="Times New Roman" w:hAnsi="Times New Roman" w:cs="Times New Roman"/>
                <w:bCs/>
                <w:sz w:val="24"/>
                <w:szCs w:val="24"/>
              </w:rPr>
              <w:t>Срок завершения строительства - 30.07.2020 года).</w:t>
            </w:r>
            <w:proofErr w:type="gramEnd"/>
          </w:p>
        </w:tc>
      </w:tr>
      <w:tr w:rsidR="00F10F3D" w:rsidRPr="00740627" w:rsidTr="00F10F3D">
        <w:tc>
          <w:tcPr>
            <w:tcW w:w="2836" w:type="dxa"/>
            <w:vMerge/>
          </w:tcPr>
          <w:p w:rsidR="00F10F3D" w:rsidRPr="00740627" w:rsidRDefault="00F10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3"/>
          </w:tcPr>
          <w:p w:rsidR="00F10F3D" w:rsidRPr="00C25C74" w:rsidRDefault="00F10F3D" w:rsidP="009C4C7A">
            <w:pPr>
              <w:widowControl w:val="0"/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Обновление содержания образования по предметам «Технология», «Информатика», «ОБЖ»</w:t>
            </w:r>
          </w:p>
        </w:tc>
      </w:tr>
      <w:tr w:rsidR="00F10F3D" w:rsidRPr="00740627" w:rsidTr="00F10F3D">
        <w:tc>
          <w:tcPr>
            <w:tcW w:w="2836" w:type="dxa"/>
            <w:vMerge/>
          </w:tcPr>
          <w:p w:rsidR="00F10F3D" w:rsidRPr="00740627" w:rsidRDefault="00F10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10F3D" w:rsidRPr="00740627" w:rsidRDefault="00F10F3D" w:rsidP="00C548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открытию   </w:t>
            </w:r>
            <w:r w:rsidRPr="009C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Центров  образования цифрового и гуманитарного профилей</w:t>
            </w:r>
          </w:p>
          <w:p w:rsidR="00F10F3D" w:rsidRPr="00740627" w:rsidRDefault="00F10F3D" w:rsidP="00C5484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«Точка роста»</w:t>
            </w:r>
            <w:r w:rsidRPr="009C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proofErr w:type="gramStart"/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F10F3D" w:rsidRDefault="00F10F3D" w:rsidP="00C548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  <w:p w:rsidR="00F10F3D" w:rsidRPr="009C4C7A" w:rsidRDefault="00F10F3D" w:rsidP="00C548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(2019г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 5800,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 счёт средств бюджета,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бюджет МО ГО «Сыктывкар»-900,0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средства субвенции-4900,0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10F3D" w:rsidRPr="00740627" w:rsidRDefault="00F10F3D" w:rsidP="009C4C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2"/>
          </w:tcPr>
          <w:p w:rsidR="00F10F3D" w:rsidRPr="00740627" w:rsidRDefault="00F10F3D" w:rsidP="009C4C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C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ткрытие  7 Центров  образования цифрового и гуманитарного профилей</w:t>
            </w:r>
          </w:p>
          <w:p w:rsidR="00F10F3D" w:rsidRPr="00740627" w:rsidRDefault="00F10F3D" w:rsidP="002F5CC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«Точка роста»</w:t>
            </w:r>
            <w:r w:rsidRPr="009C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proofErr w:type="gramStart"/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F10F3D" w:rsidRPr="009C4C7A" w:rsidRDefault="00F10F3D" w:rsidP="002F5CC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  <w:p w:rsidR="00F10F3D" w:rsidRPr="009C4C7A" w:rsidRDefault="00F10F3D" w:rsidP="00C548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 7600,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 счёт средств бюджета,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бюджет МО ГО «Сыктывкар»-1200,0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средства субвенции-6 400,0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10F3D" w:rsidRPr="00740627" w:rsidRDefault="00F10F3D" w:rsidP="009C4C7A">
            <w:pPr>
              <w:widowControl w:val="0"/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3D" w:rsidRPr="00740627" w:rsidTr="00F10F3D">
        <w:tc>
          <w:tcPr>
            <w:tcW w:w="2836" w:type="dxa"/>
            <w:vMerge/>
          </w:tcPr>
          <w:p w:rsidR="00F10F3D" w:rsidRPr="00740627" w:rsidRDefault="00F10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10F3D" w:rsidRPr="00740627" w:rsidRDefault="00F10F3D" w:rsidP="00C25C7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Обеспечена  возможность для  учащихся  МОО  изучать  предметную  область  </w:t>
            </w:r>
            <w:r w:rsidRPr="00557121">
              <w:rPr>
                <w:rFonts w:ascii="Times New Roman" w:hAnsi="Times New Roman" w:cs="Times New Roman"/>
              </w:rPr>
              <w:t xml:space="preserve"> «Технология»</w:t>
            </w:r>
            <w:r>
              <w:rPr>
                <w:rFonts w:ascii="Times New Roman" w:hAnsi="Times New Roman" w:cs="Times New Roman"/>
              </w:rPr>
              <w:t xml:space="preserve"> на базе республиканского детского технопарка «</w:t>
            </w:r>
            <w:proofErr w:type="spellStart"/>
            <w:r>
              <w:rPr>
                <w:rFonts w:ascii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 </w:t>
            </w: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F10F3D" w:rsidRPr="00740627" w:rsidRDefault="00F10F3D" w:rsidP="00C25C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организации, 190 человек)</w:t>
            </w:r>
          </w:p>
        </w:tc>
        <w:tc>
          <w:tcPr>
            <w:tcW w:w="3934" w:type="dxa"/>
            <w:gridSpan w:val="2"/>
          </w:tcPr>
          <w:p w:rsidR="00F10F3D" w:rsidRDefault="00F10F3D" w:rsidP="009C4C7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изучение   предметной   области   </w:t>
            </w:r>
            <w:r w:rsidRPr="00557121">
              <w:rPr>
                <w:rFonts w:ascii="Times New Roman" w:hAnsi="Times New Roman" w:cs="Times New Roman"/>
              </w:rPr>
              <w:t xml:space="preserve"> «Технология»</w:t>
            </w:r>
            <w:r>
              <w:rPr>
                <w:rFonts w:ascii="Times New Roman" w:hAnsi="Times New Roman" w:cs="Times New Roman"/>
              </w:rPr>
              <w:t xml:space="preserve"> на базе республиканского детского технопарка «</w:t>
            </w:r>
            <w:proofErr w:type="spellStart"/>
            <w:r>
              <w:rPr>
                <w:rFonts w:ascii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и </w:t>
            </w:r>
          </w:p>
          <w:p w:rsidR="00F10F3D" w:rsidRPr="00740627" w:rsidRDefault="00F10F3D" w:rsidP="001D08A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 w:rsidRPr="001D08A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cube</w:t>
            </w:r>
            <w:r>
              <w:rPr>
                <w:rFonts w:ascii="Times New Roman" w:hAnsi="Times New Roman" w:cs="Times New Roman"/>
              </w:rPr>
              <w:t xml:space="preserve">»(не менее 3 </w:t>
            </w: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F10F3D" w:rsidRPr="001D08AC" w:rsidRDefault="00F10F3D" w:rsidP="001D08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организаций)</w:t>
            </w:r>
          </w:p>
        </w:tc>
      </w:tr>
      <w:tr w:rsidR="00F10F3D" w:rsidRPr="00740627" w:rsidTr="00F10F3D">
        <w:tc>
          <w:tcPr>
            <w:tcW w:w="2836" w:type="dxa"/>
            <w:vMerge/>
          </w:tcPr>
          <w:p w:rsidR="00F10F3D" w:rsidRPr="00740627" w:rsidRDefault="00F10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10F3D" w:rsidRPr="00740627" w:rsidRDefault="00F10F3D" w:rsidP="00C25C7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Организована  совместная  деятельность с ФГБОУ ВО «СГУ»  по реализации дополнительных общеобразовательных программ по предмету «Технология» на базе </w:t>
            </w:r>
            <w:r>
              <w:rPr>
                <w:rFonts w:ascii="Times New Roman" w:hAnsi="Times New Roman" w:cs="Times New Roman"/>
              </w:rPr>
              <w:lastRenderedPageBreak/>
              <w:t xml:space="preserve">ДНК </w:t>
            </w:r>
            <w:proofErr w:type="spellStart"/>
            <w:r>
              <w:rPr>
                <w:rFonts w:ascii="Times New Roman" w:hAnsi="Times New Roman" w:cs="Times New Roman"/>
              </w:rPr>
              <w:t>им.В.А.Витязевой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(7 </w:t>
            </w: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F10F3D" w:rsidRPr="00740627" w:rsidRDefault="00F10F3D" w:rsidP="00C25C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4" w:type="dxa"/>
            <w:gridSpan w:val="2"/>
          </w:tcPr>
          <w:p w:rsidR="00F10F3D" w:rsidRPr="00740627" w:rsidRDefault="00F10F3D" w:rsidP="00C25C7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Продолжить </w:t>
            </w:r>
            <w:r>
              <w:rPr>
                <w:rFonts w:ascii="Times New Roman" w:hAnsi="Times New Roman" w:cs="Times New Roman"/>
              </w:rPr>
              <w:t xml:space="preserve">совместную   деятельность с ФГБОУ ВО «СГУ»  по реализации дополнительных общеобразовательных программ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предмету «Технология» на базе ДНК </w:t>
            </w:r>
            <w:proofErr w:type="spellStart"/>
            <w:r>
              <w:rPr>
                <w:rFonts w:ascii="Times New Roman" w:hAnsi="Times New Roman" w:cs="Times New Roman"/>
              </w:rPr>
              <w:t>им.В.А.Витязевой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(7 </w:t>
            </w: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F10F3D" w:rsidRPr="00740627" w:rsidRDefault="00F10F3D" w:rsidP="00C25C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</w:tc>
      </w:tr>
      <w:tr w:rsidR="0076481E" w:rsidRPr="00740627" w:rsidTr="00F10F3D">
        <w:tc>
          <w:tcPr>
            <w:tcW w:w="2836" w:type="dxa"/>
            <w:vMerge w:val="restart"/>
          </w:tcPr>
          <w:p w:rsidR="0076481E" w:rsidRPr="00740627" w:rsidRDefault="00764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Успех каждого ребёнка</w:t>
            </w:r>
          </w:p>
          <w:p w:rsidR="0076481E" w:rsidRPr="00740627" w:rsidRDefault="00764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81E" w:rsidRPr="00740627" w:rsidRDefault="0076481E" w:rsidP="00892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6481E" w:rsidRPr="00740627" w:rsidRDefault="0076481E" w:rsidP="007648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2F5CCB">
              <w:rPr>
                <w:rFonts w:ascii="Times New Roman" w:hAnsi="Times New Roman" w:cs="Times New Roman"/>
                <w:sz w:val="24"/>
                <w:szCs w:val="24"/>
              </w:rPr>
              <w:t xml:space="preserve"> 37 </w:t>
            </w:r>
            <w:proofErr w:type="gramStart"/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76481E" w:rsidRPr="00740627" w:rsidRDefault="0076481E" w:rsidP="007648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в открытых уроках «</w:t>
            </w:r>
            <w:proofErr w:type="spellStart"/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», направленных на раннюю профориентацию</w:t>
            </w:r>
            <w:r w:rsidR="002F5CCB">
              <w:rPr>
                <w:rFonts w:ascii="Times New Roman" w:hAnsi="Times New Roman" w:cs="Times New Roman"/>
                <w:sz w:val="24"/>
                <w:szCs w:val="24"/>
              </w:rPr>
              <w:t xml:space="preserve"> (охват 200 учащихся)</w:t>
            </w:r>
          </w:p>
        </w:tc>
        <w:tc>
          <w:tcPr>
            <w:tcW w:w="3934" w:type="dxa"/>
            <w:gridSpan w:val="2"/>
          </w:tcPr>
          <w:p w:rsidR="0076481E" w:rsidRPr="00740627" w:rsidRDefault="0076481E" w:rsidP="00AC594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2F5CCB">
              <w:rPr>
                <w:rFonts w:ascii="Times New Roman" w:hAnsi="Times New Roman" w:cs="Times New Roman"/>
                <w:sz w:val="24"/>
                <w:szCs w:val="24"/>
              </w:rPr>
              <w:t xml:space="preserve"> 37   </w:t>
            </w:r>
            <w:proofErr w:type="gramStart"/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76481E" w:rsidRPr="00740627" w:rsidRDefault="0076481E" w:rsidP="00AC594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в открытых уроках «</w:t>
            </w:r>
            <w:proofErr w:type="spellStart"/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», направленных на раннюю профориентацию</w:t>
            </w:r>
            <w:r w:rsidR="002F5CCB">
              <w:rPr>
                <w:rFonts w:ascii="Times New Roman" w:hAnsi="Times New Roman" w:cs="Times New Roman"/>
                <w:sz w:val="24"/>
                <w:szCs w:val="24"/>
              </w:rPr>
              <w:t xml:space="preserve"> (планируемый охват более 500 учащихся</w:t>
            </w:r>
            <w:proofErr w:type="gramStart"/>
            <w:r w:rsidR="002F5CC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6481E" w:rsidRPr="00740627" w:rsidTr="00F10F3D">
        <w:tc>
          <w:tcPr>
            <w:tcW w:w="2836" w:type="dxa"/>
            <w:vMerge/>
          </w:tcPr>
          <w:p w:rsidR="0076481E" w:rsidRPr="00740627" w:rsidRDefault="00764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6481E" w:rsidRPr="00740627" w:rsidRDefault="0076481E" w:rsidP="007648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2F5CCB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общеобразовательных организаций</w:t>
            </w:r>
          </w:p>
          <w:p w:rsidR="0076481E" w:rsidRPr="00740627" w:rsidRDefault="0076481E" w:rsidP="007648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проекте ранней профессиональной ориентации школьников 6–11 классов «Билет в будущее»</w:t>
            </w:r>
            <w:r w:rsidR="002F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(охват более 700 чел.)</w:t>
            </w:r>
          </w:p>
        </w:tc>
        <w:tc>
          <w:tcPr>
            <w:tcW w:w="3934" w:type="dxa"/>
            <w:gridSpan w:val="2"/>
          </w:tcPr>
          <w:p w:rsidR="0076481E" w:rsidRPr="00740627" w:rsidRDefault="0076481E" w:rsidP="00AC594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Участие  муниципальных общеобразовательных организаций</w:t>
            </w:r>
          </w:p>
          <w:p w:rsidR="0076481E" w:rsidRPr="00740627" w:rsidRDefault="0076481E" w:rsidP="00AC594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проекте ранней профессиональной ориентации школьников 6–11 классов «Билет в будущее»</w:t>
            </w:r>
            <w:r w:rsidR="002F5CCB">
              <w:rPr>
                <w:rFonts w:ascii="Times New Roman" w:hAnsi="Times New Roman" w:cs="Times New Roman"/>
                <w:sz w:val="24"/>
                <w:szCs w:val="24"/>
              </w:rPr>
              <w:t xml:space="preserve"> (планируемый охват более 1000 учащихся</w:t>
            </w:r>
            <w:proofErr w:type="gramStart"/>
            <w:r w:rsidR="002F5CC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6481E" w:rsidRPr="00740627" w:rsidTr="00F10F3D">
        <w:tc>
          <w:tcPr>
            <w:tcW w:w="2836" w:type="dxa"/>
            <w:vMerge/>
          </w:tcPr>
          <w:p w:rsidR="0076481E" w:rsidRPr="00740627" w:rsidRDefault="00764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76481E" w:rsidRPr="00740627" w:rsidRDefault="0076481E" w:rsidP="007648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профильных смен в ДОЛ </w:t>
            </w: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с целью поддержки инициативной и талантливой молодежи</w:t>
            </w:r>
            <w:r w:rsidR="002F5CCB">
              <w:rPr>
                <w:rFonts w:ascii="Times New Roman" w:hAnsi="Times New Roman" w:cs="Times New Roman"/>
                <w:sz w:val="24"/>
                <w:szCs w:val="24"/>
              </w:rPr>
              <w:t xml:space="preserve"> (одна смена в каждом ДОЛ на базе 37</w:t>
            </w:r>
            <w:r w:rsidR="002F5CCB" w:rsidRPr="007406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общеобразовательных организаций</w:t>
            </w:r>
            <w:r w:rsidR="002F5CCB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3934" w:type="dxa"/>
            <w:gridSpan w:val="2"/>
          </w:tcPr>
          <w:p w:rsidR="0076481E" w:rsidRPr="00740627" w:rsidRDefault="0076481E" w:rsidP="00AC594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«Мои таланты - моё успешное будуще</w:t>
            </w:r>
            <w:proofErr w:type="gramStart"/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406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формат Ворлдскилз, Юниорскилз, Абилимпикс.</w:t>
            </w:r>
          </w:p>
        </w:tc>
      </w:tr>
      <w:tr w:rsidR="0076481E" w:rsidRPr="00740627" w:rsidTr="00F10F3D">
        <w:tc>
          <w:tcPr>
            <w:tcW w:w="2836" w:type="dxa"/>
            <w:vMerge/>
          </w:tcPr>
          <w:p w:rsidR="0076481E" w:rsidRPr="00740627" w:rsidRDefault="00764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6481E" w:rsidRPr="00740627" w:rsidRDefault="0076481E" w:rsidP="0076481E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76481E" w:rsidRPr="00740627" w:rsidRDefault="0076481E" w:rsidP="00AC5947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профильных смен в ДОЛ </w:t>
            </w: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с целью поддержки инициативной и талантливой молодежи</w:t>
            </w:r>
            <w:r w:rsidR="002F5CCB">
              <w:rPr>
                <w:rFonts w:ascii="Times New Roman" w:hAnsi="Times New Roman" w:cs="Times New Roman"/>
                <w:sz w:val="24"/>
                <w:szCs w:val="24"/>
              </w:rPr>
              <w:t xml:space="preserve"> (по 3 профильных смены  на базе 37</w:t>
            </w:r>
            <w:r w:rsidR="002F5CCB" w:rsidRPr="00740627">
              <w:rPr>
                <w:rFonts w:ascii="Times New Roman" w:hAnsi="Times New Roman" w:cs="Times New Roman"/>
                <w:sz w:val="24"/>
                <w:szCs w:val="24"/>
              </w:rPr>
              <w:t>муниципальных общеобразовательных организаций</w:t>
            </w:r>
            <w:r w:rsidR="002F5CCB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76481E" w:rsidRPr="00740627" w:rsidTr="00F10F3D">
        <w:tc>
          <w:tcPr>
            <w:tcW w:w="2836" w:type="dxa"/>
            <w:vMerge/>
          </w:tcPr>
          <w:p w:rsidR="0076481E" w:rsidRPr="00740627" w:rsidRDefault="00764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6481E" w:rsidRPr="00740627" w:rsidRDefault="0076481E" w:rsidP="0076481E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76481E" w:rsidRPr="00740627" w:rsidRDefault="0076481E" w:rsidP="00AC5947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«Школа наставников»</w:t>
            </w:r>
          </w:p>
        </w:tc>
      </w:tr>
      <w:tr w:rsidR="009C4C7A" w:rsidRPr="00740627" w:rsidTr="00F10F3D">
        <w:tc>
          <w:tcPr>
            <w:tcW w:w="2836" w:type="dxa"/>
          </w:tcPr>
          <w:p w:rsidR="009C4C7A" w:rsidRPr="00740627" w:rsidRDefault="009C4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образовательная среда</w:t>
            </w:r>
          </w:p>
        </w:tc>
        <w:tc>
          <w:tcPr>
            <w:tcW w:w="3544" w:type="dxa"/>
          </w:tcPr>
          <w:p w:rsidR="002F5CCB" w:rsidRPr="00C25C74" w:rsidRDefault="002F5CCB" w:rsidP="00F10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C74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 xml:space="preserve">Централизованное </w:t>
            </w:r>
            <w:r w:rsidRPr="00C25C74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образовательных организаций: МОУ СОШ № 26,30,35  оборудованием Министерством образования, науки и молодёжной политики Республики Коми, включающим  МФУ, ноутбук для управленческого персонала (6 шт.), ноутбук учителя (2 </w:t>
            </w:r>
            <w:proofErr w:type="spellStart"/>
            <w:proofErr w:type="gramStart"/>
            <w:r w:rsidRPr="00C25C7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25C74">
              <w:rPr>
                <w:rFonts w:ascii="Times New Roman" w:hAnsi="Times New Roman" w:cs="Times New Roman"/>
                <w:sz w:val="24"/>
                <w:szCs w:val="24"/>
              </w:rPr>
              <w:t xml:space="preserve">), интерактивный комплекс (2 шт.), мобильное крепление для интерактивного комплекса, вычислительный блок  интерактивного комплекса (2 </w:t>
            </w:r>
            <w:proofErr w:type="spellStart"/>
            <w:r w:rsidRPr="00C25C7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25C74">
              <w:rPr>
                <w:rFonts w:ascii="Times New Roman" w:hAnsi="Times New Roman" w:cs="Times New Roman"/>
                <w:sz w:val="24"/>
                <w:szCs w:val="24"/>
              </w:rPr>
              <w:t xml:space="preserve">), ноутбук мобильного класса (30 шт.).  </w:t>
            </w:r>
          </w:p>
          <w:p w:rsidR="002F5CCB" w:rsidRPr="00C25C74" w:rsidRDefault="002F5CCB" w:rsidP="002F5CC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C74">
              <w:rPr>
                <w:rFonts w:ascii="Times New Roman" w:hAnsi="Times New Roman" w:cs="Times New Roman"/>
                <w:sz w:val="24"/>
                <w:szCs w:val="24"/>
              </w:rPr>
              <w:t>Стоимость одного комплекта оборудования составляет 2</w:t>
            </w:r>
            <w:r w:rsidR="00C25C74" w:rsidRPr="00C25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5C7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C25C74" w:rsidRPr="00C25C74">
              <w:rPr>
                <w:rFonts w:ascii="Times New Roman" w:hAnsi="Times New Roman" w:cs="Times New Roman"/>
                <w:sz w:val="24"/>
                <w:szCs w:val="24"/>
              </w:rPr>
              <w:t xml:space="preserve">,  9 </w:t>
            </w:r>
            <w:proofErr w:type="spellStart"/>
            <w:r w:rsidR="00C25C74" w:rsidRPr="00C25C7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25C74" w:rsidRPr="00C25C7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25C74" w:rsidRPr="00C25C7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C25C74" w:rsidRPr="00C25C74">
              <w:rPr>
                <w:rFonts w:ascii="Times New Roman" w:hAnsi="Times New Roman" w:cs="Times New Roman"/>
                <w:sz w:val="24"/>
                <w:szCs w:val="24"/>
              </w:rPr>
              <w:t>, общая стоимость  на 3 школы-</w:t>
            </w:r>
            <w:r w:rsidR="00C25C74" w:rsidRPr="00C25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6344,7 </w:t>
            </w:r>
            <w:proofErr w:type="spellStart"/>
            <w:r w:rsidR="00C25C74" w:rsidRPr="00C25C7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C25C74" w:rsidRPr="00C25C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F5CCB" w:rsidRPr="00C25C74" w:rsidRDefault="002F5CCB" w:rsidP="002F5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C7A" w:rsidRPr="00740627" w:rsidRDefault="009C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9C4C7A" w:rsidRPr="00F10F3D" w:rsidRDefault="00C25C74" w:rsidP="00C25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100% муниципальных образовательных организаций</w:t>
            </w:r>
            <w:r w:rsidRPr="00F10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10F3D">
              <w:rPr>
                <w:rFonts w:ascii="Times New Roman" w:hAnsi="Times New Roman" w:cs="Times New Roman"/>
                <w:sz w:val="24"/>
                <w:szCs w:val="24"/>
              </w:rPr>
              <w:t xml:space="preserve"> МО ГО «Сыктывкар» Интернет-соединением со скоростью соединения не менее 100Мб/</w:t>
            </w:r>
            <w:r w:rsidRPr="00F1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F10F3D" w:rsidRPr="00F10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0F3D" w:rsidRPr="00F10F3D" w:rsidRDefault="00F10F3D" w:rsidP="00F10F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F10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униципальные образовательные организации получили современное</w:t>
            </w:r>
            <w:r w:rsidRPr="00F10F3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цифровое оборудование:</w:t>
            </w:r>
          </w:p>
          <w:p w:rsidR="00F10F3D" w:rsidRPr="00F10F3D" w:rsidRDefault="00F10F3D" w:rsidP="00F10F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F3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2019 г в 3 МОО: МАОУ «СОШ № 26», МОУ «СОШ № 30», МАОУ «СОШ № 35»;</w:t>
            </w:r>
          </w:p>
          <w:p w:rsidR="00F10F3D" w:rsidRPr="00F10F3D" w:rsidRDefault="00F10F3D" w:rsidP="00F10F3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F3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2020 г. в 24 МОО: </w:t>
            </w:r>
            <w:proofErr w:type="gramStart"/>
            <w:r w:rsidRPr="00F10F3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МАОУ «СОШ №7», МАОУ «СОШ №38», МАОУ «СОШ №12», МАОУ «СОШ №1», МАОУ «СОШ №24», МАОУ «СОШ №36», МОУ «СОШ №9», МОУ «СОШ №3», МАОУ «СОШ №25», МАОУ «СОШ №33», МАОУ «Русская гимназия», МАОУ «СОШ №18», МОУ «СОШ №27», МАОУ «СОШ №43», МАОУ «СОШ №16», </w:t>
            </w:r>
            <w:r w:rsidRPr="00F10F3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МОУ КНГ, МАОУ «СОШ №28», МАОУ «СОШ №22», МАОУ «СОШ №31», МАОУ «СОШ №4», МАОУ</w:t>
            </w:r>
            <w:proofErr w:type="gramEnd"/>
            <w:r w:rsidRPr="00F10F3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«Гимназия им. А.С. Пушкина», МАОУ «Гимназия №1», МАОУ «СОШ №21», МАОУ «Технологический лицей».</w:t>
            </w:r>
          </w:p>
          <w:p w:rsidR="00F10F3D" w:rsidRPr="00F10F3D" w:rsidRDefault="00F10F3D" w:rsidP="00F10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F3D">
              <w:rPr>
                <w:rFonts w:ascii="Times New Roman" w:hAnsi="Times New Roman" w:cs="Times New Roman"/>
                <w:sz w:val="24"/>
                <w:szCs w:val="24"/>
              </w:rPr>
              <w:t>Такое оборудование позволит учащимся во время уроков получить доступ к платформам цифрового образовательного контента, а также к цифровым тренажерам и тестам. В свою очередь, учителя получат возможность реализации сценариев «цифрового» урока с использованием ноутбуков и интерактивных панелей.</w:t>
            </w:r>
          </w:p>
        </w:tc>
      </w:tr>
      <w:tr w:rsidR="00740627" w:rsidRPr="00740627" w:rsidTr="00F10F3D">
        <w:tc>
          <w:tcPr>
            <w:tcW w:w="2836" w:type="dxa"/>
            <w:vMerge w:val="restart"/>
          </w:tcPr>
          <w:p w:rsidR="00740627" w:rsidRPr="00740627" w:rsidRDefault="00740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Социальная </w:t>
            </w:r>
          </w:p>
          <w:p w:rsidR="00740627" w:rsidRPr="00740627" w:rsidRDefault="00740627" w:rsidP="00364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активность</w:t>
            </w:r>
          </w:p>
        </w:tc>
        <w:tc>
          <w:tcPr>
            <w:tcW w:w="3544" w:type="dxa"/>
          </w:tcPr>
          <w:p w:rsidR="00740627" w:rsidRPr="00740627" w:rsidRDefault="00740627" w:rsidP="0076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</w:t>
            </w:r>
            <w:r w:rsidR="002F5C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конкурс грантов на поддержку социальных и добровольческих проектов, а также деятельности НКО, осуществляющих деятельность в сфере добровольчества</w:t>
            </w:r>
            <w:r w:rsidR="002F5CCB">
              <w:rPr>
                <w:rFonts w:ascii="Times New Roman" w:hAnsi="Times New Roman" w:cs="Times New Roman"/>
                <w:sz w:val="24"/>
                <w:szCs w:val="24"/>
              </w:rPr>
              <w:t xml:space="preserve"> (2 победителя по 50,0 </w:t>
            </w:r>
            <w:proofErr w:type="spellStart"/>
            <w:r w:rsidR="002F5CC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2F5C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F5CC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5C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4" w:type="dxa"/>
            <w:gridSpan w:val="2"/>
          </w:tcPr>
          <w:p w:rsidR="00740627" w:rsidRPr="00740627" w:rsidRDefault="00740627" w:rsidP="0076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2F5C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грантов на поддержку социальных и добровольческих проектов, а также деятельности НКО, осуществляющих деятельность в сфере добровольчества</w:t>
            </w:r>
            <w:r w:rsidR="00DF72D6">
              <w:rPr>
                <w:rFonts w:ascii="Times New Roman" w:hAnsi="Times New Roman" w:cs="Times New Roman"/>
                <w:sz w:val="24"/>
                <w:szCs w:val="24"/>
              </w:rPr>
              <w:t xml:space="preserve">(2 победителя по 50,0 </w:t>
            </w:r>
            <w:proofErr w:type="spellStart"/>
            <w:r w:rsidR="00DF72D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DF72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F72D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DF72D6" w:rsidRPr="00740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72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0627" w:rsidRPr="00740627" w:rsidTr="00F10F3D">
        <w:tc>
          <w:tcPr>
            <w:tcW w:w="2836" w:type="dxa"/>
            <w:vMerge/>
          </w:tcPr>
          <w:p w:rsidR="00740627" w:rsidRPr="00740627" w:rsidRDefault="0074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0627" w:rsidRPr="00740627" w:rsidRDefault="00740627" w:rsidP="0076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proofErr w:type="gramEnd"/>
            <w:r w:rsidRPr="007406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центр развития </w:t>
            </w:r>
            <w:r w:rsidR="002F5CCB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добровольчества  и </w:t>
            </w:r>
            <w:proofErr w:type="spellStart"/>
            <w:r w:rsidR="002F5CCB">
              <w:rPr>
                <w:rFonts w:ascii="Times New Roman" w:hAnsi="Times New Roman" w:cs="Times New Roman"/>
                <w:sz w:val="24"/>
                <w:szCs w:val="24"/>
              </w:rPr>
              <w:t>волонтёрства</w:t>
            </w:r>
            <w:proofErr w:type="spellEnd"/>
            <w:r w:rsidR="002F5CCB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МАУ «Молодёжный центр»</w:t>
            </w:r>
          </w:p>
        </w:tc>
        <w:tc>
          <w:tcPr>
            <w:tcW w:w="3934" w:type="dxa"/>
            <w:gridSpan w:val="2"/>
          </w:tcPr>
          <w:p w:rsidR="00740627" w:rsidRPr="00740627" w:rsidRDefault="002F5CCB" w:rsidP="0076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работа муниципального </w:t>
            </w: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добровольчества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волонтёрства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МАУ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Молодёжный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</w:tr>
      <w:tr w:rsidR="00740627" w:rsidRPr="00740627" w:rsidTr="00F10F3D">
        <w:tc>
          <w:tcPr>
            <w:tcW w:w="2836" w:type="dxa"/>
            <w:vMerge/>
          </w:tcPr>
          <w:p w:rsidR="00740627" w:rsidRPr="00740627" w:rsidRDefault="0074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0627" w:rsidRPr="00740627" w:rsidRDefault="00740627" w:rsidP="0076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На базе общеобразовательных организаций  созданы волонтерские отряды (объединения)</w:t>
            </w:r>
            <w:r w:rsidR="002F5CCB">
              <w:rPr>
                <w:rFonts w:ascii="Times New Roman" w:hAnsi="Times New Roman" w:cs="Times New Roman"/>
                <w:sz w:val="24"/>
                <w:szCs w:val="24"/>
              </w:rPr>
              <w:t xml:space="preserve"> (37 отрядов, охват 600 чел.)</w:t>
            </w: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  <w:gridSpan w:val="2"/>
          </w:tcPr>
          <w:p w:rsidR="00740627" w:rsidRPr="00740627" w:rsidRDefault="00740627" w:rsidP="0076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На базе общеобразовательных организаций функционируют волонтерские отряды (объединения)</w:t>
            </w:r>
            <w:r w:rsidR="002F5CCB">
              <w:rPr>
                <w:rFonts w:ascii="Times New Roman" w:hAnsi="Times New Roman" w:cs="Times New Roman"/>
                <w:sz w:val="24"/>
                <w:szCs w:val="24"/>
              </w:rPr>
              <w:t xml:space="preserve"> (37 отрядов, охват 1000 чел.)</w:t>
            </w:r>
            <w:r w:rsidR="002F5CCB" w:rsidRPr="00740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0627" w:rsidRPr="00740627" w:rsidTr="00F10F3D">
        <w:tc>
          <w:tcPr>
            <w:tcW w:w="2836" w:type="dxa"/>
            <w:vMerge/>
          </w:tcPr>
          <w:p w:rsidR="00740627" w:rsidRPr="00740627" w:rsidRDefault="0074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0627" w:rsidRPr="00740627" w:rsidRDefault="00740627" w:rsidP="00740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iCs/>
                <w:sz w:val="24"/>
                <w:szCs w:val="24"/>
              </w:rPr>
              <w:t>Проведён  муниципальный  этап Всероссийско</w:t>
            </w:r>
            <w:r w:rsidR="002F5CCB">
              <w:rPr>
                <w:rFonts w:ascii="Times New Roman" w:hAnsi="Times New Roman" w:cs="Times New Roman"/>
                <w:iCs/>
                <w:sz w:val="24"/>
                <w:szCs w:val="24"/>
              </w:rPr>
              <w:t>го конкурса «Доброволец России», участников-20 чел.</w:t>
            </w:r>
          </w:p>
        </w:tc>
        <w:tc>
          <w:tcPr>
            <w:tcW w:w="3934" w:type="dxa"/>
            <w:gridSpan w:val="2"/>
          </w:tcPr>
          <w:p w:rsidR="00740627" w:rsidRPr="00740627" w:rsidRDefault="00740627" w:rsidP="00740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  муниципального  этапа  Всероссийского конкурса «Доброволец России»</w:t>
            </w:r>
            <w:r w:rsidR="00DF72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F5CCB">
              <w:rPr>
                <w:rFonts w:ascii="Times New Roman" w:hAnsi="Times New Roman" w:cs="Times New Roman"/>
                <w:iCs/>
                <w:sz w:val="24"/>
                <w:szCs w:val="24"/>
              </w:rPr>
              <w:t>(планируется более 30 участников)</w:t>
            </w:r>
            <w:r w:rsidRPr="0074062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740627" w:rsidRPr="00740627" w:rsidTr="00F10F3D">
        <w:tc>
          <w:tcPr>
            <w:tcW w:w="2836" w:type="dxa"/>
          </w:tcPr>
          <w:p w:rsidR="00740627" w:rsidRPr="00740627" w:rsidRDefault="00740627" w:rsidP="009C4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7A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Поддержка семей, имеющих детей</w:t>
            </w:r>
          </w:p>
        </w:tc>
        <w:tc>
          <w:tcPr>
            <w:tcW w:w="3544" w:type="dxa"/>
          </w:tcPr>
          <w:p w:rsidR="00740627" w:rsidRPr="00740627" w:rsidRDefault="00740627" w:rsidP="00B158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2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Создание на базе </w:t>
            </w:r>
            <w:r w:rsidRPr="009C4C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МУДО «ЦППМиСП»    Автономн</w:t>
            </w:r>
            <w:r w:rsidRPr="0074062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ой </w:t>
            </w:r>
            <w:r w:rsidRPr="009C4C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некоммерческ</w:t>
            </w:r>
            <w:r w:rsidRPr="0074062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ой </w:t>
            </w:r>
            <w:r w:rsidRPr="009C4C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организаци</w:t>
            </w:r>
            <w:r w:rsidRPr="0074062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и </w:t>
            </w:r>
            <w:r w:rsidRPr="009C4C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«Институт семейного воспитания»  по оказанию услуг психолого-педагогической, методической и консультативной помощи родителям (законным представителям детей).</w:t>
            </w:r>
          </w:p>
        </w:tc>
        <w:tc>
          <w:tcPr>
            <w:tcW w:w="3934" w:type="dxa"/>
            <w:gridSpan w:val="2"/>
          </w:tcPr>
          <w:p w:rsidR="00740627" w:rsidRPr="00740627" w:rsidRDefault="0074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Предоставление  родителям (законным представителям) детей услуг психолого-педагогической, методической и консультативной помощи, а также оказана поддержка гражданам, желающим принять на воспитание в свои семьи детей, оставшихся без попечения родителей.</w:t>
            </w:r>
          </w:p>
        </w:tc>
      </w:tr>
      <w:tr w:rsidR="00740627" w:rsidRPr="00740627" w:rsidTr="00F10F3D">
        <w:tc>
          <w:tcPr>
            <w:tcW w:w="10314" w:type="dxa"/>
            <w:gridSpan w:val="4"/>
          </w:tcPr>
          <w:p w:rsidR="00740627" w:rsidRPr="00740627" w:rsidRDefault="00740627" w:rsidP="009C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0627">
              <w:rPr>
                <w:rFonts w:ascii="Times New Roman" w:hAnsi="Times New Roman" w:cs="Times New Roman"/>
                <w:b/>
                <w:sz w:val="24"/>
                <w:szCs w:val="24"/>
              </w:rPr>
              <w:t>Грантовая</w:t>
            </w:r>
            <w:proofErr w:type="spellEnd"/>
            <w:r w:rsidRPr="00740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поддержка за счёт средств федерального бюджета</w:t>
            </w:r>
          </w:p>
        </w:tc>
      </w:tr>
      <w:tr w:rsidR="00740627" w:rsidRPr="00740627" w:rsidTr="00F10F3D">
        <w:tc>
          <w:tcPr>
            <w:tcW w:w="2836" w:type="dxa"/>
          </w:tcPr>
          <w:p w:rsidR="00740627" w:rsidRPr="00740627" w:rsidRDefault="00740627" w:rsidP="009C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0627" w:rsidRPr="00740627" w:rsidRDefault="00740627" w:rsidP="00AC5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34" w:type="dxa"/>
            <w:gridSpan w:val="2"/>
          </w:tcPr>
          <w:p w:rsidR="00740627" w:rsidRPr="00740627" w:rsidRDefault="00740627" w:rsidP="00AC5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40627" w:rsidRPr="00740627" w:rsidTr="00F10F3D">
        <w:tc>
          <w:tcPr>
            <w:tcW w:w="2836" w:type="dxa"/>
          </w:tcPr>
          <w:p w:rsidR="00740627" w:rsidRPr="00740627" w:rsidRDefault="00740627" w:rsidP="007E2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Поддержка семей, </w:t>
            </w:r>
            <w:r w:rsidRPr="007406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имеющих детей</w:t>
            </w:r>
          </w:p>
        </w:tc>
        <w:tc>
          <w:tcPr>
            <w:tcW w:w="3544" w:type="dxa"/>
          </w:tcPr>
          <w:p w:rsidR="00740627" w:rsidRPr="00740627" w:rsidRDefault="0074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740627" w:rsidRPr="00740627" w:rsidRDefault="00740627" w:rsidP="009C4C7A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74062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Реализация проекта </w:t>
            </w:r>
            <w:r w:rsidRPr="009C4C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МУДО </w:t>
            </w:r>
            <w:r w:rsidRPr="009C4C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 xml:space="preserve">«ЦППМиСП»   </w:t>
            </w:r>
            <w:r w:rsidRPr="0074062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за счёт сре</w:t>
            </w:r>
            <w:proofErr w:type="gramStart"/>
            <w:r w:rsidRPr="0074062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дств </w:t>
            </w:r>
            <w:r w:rsidRPr="009C4C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гр</w:t>
            </w:r>
            <w:proofErr w:type="gramEnd"/>
            <w:r w:rsidRPr="009C4C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ант</w:t>
            </w:r>
            <w:r w:rsidRPr="0074062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а </w:t>
            </w:r>
            <w:r w:rsidRPr="009C4C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из федерального бюджета юридическим лицам в целях обеспечения реализации федерального  проекта «Поддержка семей, имеющих детей» национального проекта «Образование». </w:t>
            </w:r>
          </w:p>
          <w:p w:rsidR="00740627" w:rsidRPr="00740627" w:rsidRDefault="00740627" w:rsidP="009C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27" w:rsidRPr="00740627" w:rsidRDefault="00740627" w:rsidP="009C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27" w:rsidRPr="00740627" w:rsidRDefault="0074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627" w:rsidRPr="00740627" w:rsidTr="00F10F3D">
        <w:tc>
          <w:tcPr>
            <w:tcW w:w="2836" w:type="dxa"/>
          </w:tcPr>
          <w:p w:rsidR="00740627" w:rsidRPr="00740627" w:rsidRDefault="00740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Цифровая образовательная среда</w:t>
            </w:r>
          </w:p>
        </w:tc>
        <w:tc>
          <w:tcPr>
            <w:tcW w:w="3544" w:type="dxa"/>
          </w:tcPr>
          <w:p w:rsidR="00740627" w:rsidRPr="009C4C7A" w:rsidRDefault="00740627" w:rsidP="009C4C7A">
            <w:pPr>
              <w:widowControl w:val="0"/>
              <w:autoSpaceDE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«Лицей народной дипломатии»  получил грант  в размере 5 миллионов  900  тысяч рублей  на создание   </w:t>
            </w:r>
            <w:r w:rsidRPr="009C4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виртуальных лабораторий  для  изучения предметов «Математика», «Информатика», «Технология»;</w:t>
            </w:r>
          </w:p>
          <w:p w:rsidR="00740627" w:rsidRPr="009C4C7A" w:rsidRDefault="00740627" w:rsidP="009C4C7A">
            <w:pPr>
              <w:widowControl w:val="0"/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7A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№ 1» получил  грант в размере   </w:t>
            </w:r>
            <w:r w:rsidRPr="009C4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миллиона  900  тысяч рублей  на р</w:t>
            </w:r>
            <w:r w:rsidRPr="009C4C7A">
              <w:rPr>
                <w:rFonts w:ascii="Times New Roman" w:hAnsi="Times New Roman" w:cs="Times New Roman"/>
                <w:sz w:val="24"/>
                <w:szCs w:val="24"/>
              </w:rPr>
              <w:t>азвитие инженерного мышления и цифровых навыков на основе математического и компьютерного  моделирования</w:t>
            </w:r>
          </w:p>
          <w:p w:rsidR="00740627" w:rsidRPr="00740627" w:rsidRDefault="0074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740627" w:rsidRPr="00740627" w:rsidRDefault="00F10F3D" w:rsidP="00F10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«Технологический лицей» получил грант на реализацию проекта «Школа инженеров будущего» - система формирования цифровых компетенций и  инженерного мышления» в рамках федерального конкурса  «Развитие  и распространение лучшего опыта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«Технология» (сумма грант – 5, 9 млн. </w:t>
            </w:r>
            <w:proofErr w:type="spellStart"/>
            <w:r w:rsidRPr="00F10F3D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10F3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</w:tr>
      <w:tr w:rsidR="00740627" w:rsidRPr="00740627" w:rsidTr="00F10F3D">
        <w:tc>
          <w:tcPr>
            <w:tcW w:w="2836" w:type="dxa"/>
          </w:tcPr>
          <w:p w:rsidR="00740627" w:rsidRPr="00740627" w:rsidRDefault="00740627" w:rsidP="00AC5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627">
              <w:rPr>
                <w:rFonts w:ascii="Times New Roman" w:hAnsi="Times New Roman" w:cs="Times New Roman"/>
                <w:b/>
                <w:sz w:val="24"/>
                <w:szCs w:val="24"/>
              </w:rPr>
              <w:t>Успех каждого ребёнка</w:t>
            </w:r>
          </w:p>
        </w:tc>
        <w:tc>
          <w:tcPr>
            <w:tcW w:w="3544" w:type="dxa"/>
          </w:tcPr>
          <w:p w:rsidR="00740627" w:rsidRPr="00740627" w:rsidRDefault="0074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740627" w:rsidRPr="00740627" w:rsidRDefault="00740627" w:rsidP="00DF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62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</w:t>
            </w:r>
            <w:r w:rsidRPr="009C4C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оздан</w:t>
            </w:r>
            <w:r w:rsidR="00DF72D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 </w:t>
            </w:r>
            <w:r w:rsidRPr="0074062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9C4C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9C4C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74062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60 </w:t>
            </w:r>
            <w:r w:rsidR="00DF72D6" w:rsidRPr="009C4C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новы</w:t>
            </w:r>
            <w:r w:rsidR="00DF72D6" w:rsidRPr="0074062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х </w:t>
            </w:r>
            <w:r w:rsidRPr="009C4C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мест </w:t>
            </w:r>
            <w:r w:rsidRPr="009C4C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дополнительного образования детей на базе МАУДО «</w:t>
            </w:r>
            <w:proofErr w:type="spellStart"/>
            <w:r w:rsidRPr="009C4C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ДТДиУМ</w:t>
            </w:r>
            <w:proofErr w:type="spellEnd"/>
            <w:r w:rsidRPr="009C4C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»</w:t>
            </w:r>
            <w:r w:rsidRPr="0074062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  <w:r w:rsidRPr="009C4C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0F3D" w:rsidRPr="00740627" w:rsidTr="00F10F3D">
        <w:tc>
          <w:tcPr>
            <w:tcW w:w="2836" w:type="dxa"/>
          </w:tcPr>
          <w:p w:rsidR="00F10F3D" w:rsidRPr="00F10F3D" w:rsidRDefault="00F10F3D" w:rsidP="00D03B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10F3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Развитие современных механизмов и технологий дошкольного и общего образования»  государственной программы Российской Федерации  «Развитие образования»</w:t>
            </w:r>
          </w:p>
        </w:tc>
        <w:tc>
          <w:tcPr>
            <w:tcW w:w="3544" w:type="dxa"/>
          </w:tcPr>
          <w:p w:rsidR="00F10F3D" w:rsidRPr="00F10F3D" w:rsidRDefault="00F10F3D" w:rsidP="00D03B5D">
            <w:pPr>
              <w:widowControl w:val="0"/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F10F3D" w:rsidRPr="00F10F3D" w:rsidRDefault="00F10F3D" w:rsidP="00D03B5D">
            <w:pPr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10F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МАОУ «Средняя общеобразовательная школа № 16» стала победителем в рамках лота «Интеграция общего и дополнительного образования как средство формирования и развития компетенций для предпринимательской деятельности обучающихся». Школа   реализует проект по развитию предпринимательских навыков учащихся и разработки бизнес-проектов (сумма гранта-1 </w:t>
            </w:r>
            <w:proofErr w:type="spellStart"/>
            <w:r w:rsidRPr="00F10F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млн</w:t>
            </w:r>
            <w:proofErr w:type="gramStart"/>
            <w:r w:rsidRPr="00F10F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F10F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уб</w:t>
            </w:r>
            <w:proofErr w:type="spellEnd"/>
            <w:r w:rsidRPr="00F10F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.).  </w:t>
            </w:r>
          </w:p>
          <w:p w:rsidR="00F10F3D" w:rsidRPr="00F10F3D" w:rsidRDefault="00F10F3D" w:rsidP="00F10F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0F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МАОУ «Средняя общеобразовательная школа № 35» стала победителем в рамках лота «Эффективные модели методической службы образовательных организаций как </w:t>
            </w:r>
            <w:r w:rsidRPr="00F10F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сетевых ресурсных центров повышения качества общего образования» (сумма гранта-1 млн. руб.). Школа  обобщит лучший опыт наставничества</w:t>
            </w:r>
            <w:proofErr w:type="gramStart"/>
            <w:r w:rsidRPr="00F10F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F10F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МАОУ «Гимназия № 1» г. Сыктывкара в рамках лота «Эффективные модели методической службы образовательных организаций как сетевых ресурсных центров повышения качества общего образования» выиграла грант 1 </w:t>
            </w:r>
            <w:proofErr w:type="spellStart"/>
            <w:r w:rsidRPr="00F10F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млн</w:t>
            </w:r>
            <w:proofErr w:type="gramStart"/>
            <w:r w:rsidRPr="00F10F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F10F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уб</w:t>
            </w:r>
            <w:proofErr w:type="spellEnd"/>
            <w:r w:rsidRPr="00F10F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  <w:p w:rsidR="00F10F3D" w:rsidRPr="00F10F3D" w:rsidRDefault="00F10F3D" w:rsidP="00F10F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Гимназия реализует план мероприятий, нацеленный на повышение качества  образовательных результатов учащихся на основе реализации индивидуальных образовательных маршрутов. </w:t>
            </w:r>
          </w:p>
        </w:tc>
      </w:tr>
    </w:tbl>
    <w:p w:rsidR="00632E3C" w:rsidRDefault="00632E3C" w:rsidP="00A828DE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</w:p>
    <w:sectPr w:rsidR="0063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834" w:rsidRDefault="00604834" w:rsidP="0076481E">
      <w:pPr>
        <w:spacing w:after="0" w:line="240" w:lineRule="auto"/>
      </w:pPr>
      <w:r>
        <w:separator/>
      </w:r>
    </w:p>
  </w:endnote>
  <w:endnote w:type="continuationSeparator" w:id="0">
    <w:p w:rsidR="00604834" w:rsidRDefault="00604834" w:rsidP="0076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834" w:rsidRDefault="00604834" w:rsidP="0076481E">
      <w:pPr>
        <w:spacing w:after="0" w:line="240" w:lineRule="auto"/>
      </w:pPr>
      <w:r>
        <w:separator/>
      </w:r>
    </w:p>
  </w:footnote>
  <w:footnote w:type="continuationSeparator" w:id="0">
    <w:p w:rsidR="00604834" w:rsidRDefault="00604834" w:rsidP="0076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31442"/>
    <w:multiLevelType w:val="hybridMultilevel"/>
    <w:tmpl w:val="C3A8BF40"/>
    <w:lvl w:ilvl="0" w:tplc="3C90E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D17A4"/>
    <w:multiLevelType w:val="hybridMultilevel"/>
    <w:tmpl w:val="56463CEE"/>
    <w:lvl w:ilvl="0" w:tplc="3C90E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03E26"/>
    <w:multiLevelType w:val="multilevel"/>
    <w:tmpl w:val="1436C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7A"/>
    <w:rsid w:val="00120C36"/>
    <w:rsid w:val="001D08AC"/>
    <w:rsid w:val="00204F7A"/>
    <w:rsid w:val="0024711D"/>
    <w:rsid w:val="002F5CCB"/>
    <w:rsid w:val="003648D5"/>
    <w:rsid w:val="00400F7E"/>
    <w:rsid w:val="004C09E9"/>
    <w:rsid w:val="00604834"/>
    <w:rsid w:val="00632E3C"/>
    <w:rsid w:val="00740627"/>
    <w:rsid w:val="0076481E"/>
    <w:rsid w:val="009C4C7A"/>
    <w:rsid w:val="00A828DE"/>
    <w:rsid w:val="00B15859"/>
    <w:rsid w:val="00B23340"/>
    <w:rsid w:val="00BE7D96"/>
    <w:rsid w:val="00C25C74"/>
    <w:rsid w:val="00C54846"/>
    <w:rsid w:val="00CE30A2"/>
    <w:rsid w:val="00D27246"/>
    <w:rsid w:val="00DF72D6"/>
    <w:rsid w:val="00EB60FC"/>
    <w:rsid w:val="00F1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C4C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9C4C7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C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C4C7A"/>
    <w:pPr>
      <w:spacing w:after="0" w:line="240" w:lineRule="auto"/>
    </w:pPr>
  </w:style>
  <w:style w:type="paragraph" w:styleId="a7">
    <w:name w:val="footnote text"/>
    <w:basedOn w:val="a"/>
    <w:link w:val="a8"/>
    <w:rsid w:val="0076481E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6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6481E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D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08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C4C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9C4C7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C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C4C7A"/>
    <w:pPr>
      <w:spacing w:after="0" w:line="240" w:lineRule="auto"/>
    </w:pPr>
  </w:style>
  <w:style w:type="paragraph" w:styleId="a7">
    <w:name w:val="footnote text"/>
    <w:basedOn w:val="a"/>
    <w:link w:val="a8"/>
    <w:rsid w:val="0076481E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6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6481E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D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0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Геллерт Елена Евгеньевна</dc:creator>
  <cp:lastModifiedBy>Геллерт Елена Евгеньевна</cp:lastModifiedBy>
  <cp:revision>2</cp:revision>
  <cp:lastPrinted>2020-01-30T13:48:00Z</cp:lastPrinted>
  <dcterms:created xsi:type="dcterms:W3CDTF">2020-10-19T08:38:00Z</dcterms:created>
  <dcterms:modified xsi:type="dcterms:W3CDTF">2020-10-19T08:38:00Z</dcterms:modified>
</cp:coreProperties>
</file>